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楷体" w:hAnsi="楷体" w:eastAsia="宋体" w:cs="楷体"/>
          <w:b/>
          <w:sz w:val="44"/>
          <w:szCs w:val="44"/>
          <w:lang w:eastAsia="zh-CN"/>
        </w:rPr>
        <w:sectPr>
          <w:footerReference r:id="rId3" w:type="default"/>
          <w:pgSz w:w="11906" w:h="16838"/>
          <w:pgMar w:top="2098" w:right="1474" w:bottom="1985" w:left="1588" w:header="851" w:footer="992" w:gutter="0"/>
          <w:cols w:space="425" w:num="1"/>
          <w:docGrid w:type="lines" w:linePitch="312" w:charSpace="0"/>
        </w:sectPr>
      </w:pPr>
      <w:r>
        <w:rPr>
          <w:rFonts w:hint="eastAsia"/>
          <w:b/>
          <w:sz w:val="44"/>
          <w:szCs w:val="44"/>
          <w:lang w:eastAsia="zh-CN"/>
        </w:rPr>
        <w:t>大厂回族自治县供销合作社</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numPr>
          <w:ilvl w:val="0"/>
          <w:numId w:val="1"/>
        </w:numPr>
        <w:spacing w:line="580" w:lineRule="exact"/>
        <w:ind w:firstLine="1273" w:firstLineChars="398"/>
        <w:rPr>
          <w:rFonts w:hint="eastAsia" w:eastAsia="仿宋_GB2312"/>
          <w:sz w:val="32"/>
          <w:szCs w:val="32"/>
        </w:rPr>
      </w:pPr>
      <w:r>
        <w:rPr>
          <w:rFonts w:eastAsia="仿宋_GB2312"/>
          <w:sz w:val="32"/>
          <w:szCs w:val="32"/>
        </w:rPr>
        <w:t>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县供销合作社</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1、贯彻县委、县政府和市供销社有关农村工作和社会发展的方针、政策，制定全县供销社发展战略和规划，指导全县供销社改革和发展。</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2、按照供销合作社章程赋予的合法权益，负责协调与政府各部门和社会组织的关系，促进合作经济的发展。</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3、承担全县重要防汛救灾物资的储备工作。</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4、根据《河北省食盐加碘消除碘缺乏危害监督管理条例》和有关规定，按照县政府授权，具体负责全县流通领域盐业行政执法管理，食盐批发和零售市场的监督检查，做好全县食盐</w:t>
      </w:r>
      <w:r>
        <w:rPr>
          <w:rFonts w:hint="eastAsia" w:ascii="仿宋" w:hAnsi="仿宋" w:eastAsia="仿宋" w:cs="仿宋"/>
          <w:kern w:val="0"/>
          <w:sz w:val="32"/>
          <w:szCs w:val="32"/>
          <w:lang w:eastAsia="zh-CN"/>
        </w:rPr>
        <w:t>储备和经</w:t>
      </w:r>
      <w:r>
        <w:rPr>
          <w:rFonts w:hint="eastAsia" w:ascii="仿宋" w:hAnsi="仿宋" w:eastAsia="仿宋" w:cs="仿宋"/>
          <w:kern w:val="0"/>
          <w:sz w:val="32"/>
          <w:szCs w:val="32"/>
        </w:rPr>
        <w:t>营工作。</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5、负责指导全县供销社的业务活动，参与、推动和服务农业产业化经营，发展龙头企业、专业合作社和消费合作社，加快农业社会化服务体系和农产品市场体系建设、开拓城乡市场。</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6、指导系统实施“科教兴社”战略，指导系统技术创新和技术推广，组织开展对社员和职工教育与培训，为全县供销社提供科技服务和信息服务。</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7、负责全县供销社所属企业改革，建立现代企业制度，指导系统党风廉政建设。</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8、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9、承办县委、县政府和市供销社交办的其他事项。</w:t>
      </w: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1" w:hRule="atLeast"/>
          <w:jc w:val="center"/>
        </w:trPr>
        <w:tc>
          <w:tcPr>
            <w:tcW w:w="98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6" w:hRule="atLeast"/>
          <w:jc w:val="center"/>
        </w:trPr>
        <w:tc>
          <w:tcPr>
            <w:tcW w:w="98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keepNext w:val="0"/>
              <w:keepLines w:val="0"/>
              <w:suppressLineNumbers w:val="0"/>
              <w:spacing w:before="0" w:beforeAutospacing="0" w:after="0" w:afterAutospacing="0" w:line="560" w:lineRule="exact"/>
              <w:ind w:left="0" w:right="0"/>
              <w:rPr>
                <w:rFonts w:hint="default" w:ascii="仿宋_GB2312" w:eastAsia="仿宋_GB2312" w:cs="ArialUnicodeMS" w:hAnsiTheme="minorHAnsi"/>
                <w:kern w:val="0"/>
                <w:sz w:val="24"/>
                <w:szCs w:val="24"/>
              </w:rPr>
            </w:pPr>
            <w:r>
              <w:rPr>
                <w:rFonts w:hint="eastAsia" w:ascii="仿宋" w:hAnsi="仿宋" w:eastAsia="仿宋" w:cs="仿宋"/>
                <w:sz w:val="24"/>
                <w:szCs w:val="24"/>
              </w:rPr>
              <w:t>大厂回族自治县供销合作社</w:t>
            </w:r>
          </w:p>
        </w:tc>
        <w:tc>
          <w:tcPr>
            <w:tcW w:w="2445" w:type="dxa"/>
          </w:tcPr>
          <w:p>
            <w:pPr>
              <w:keepNext w:val="0"/>
              <w:keepLines w:val="0"/>
              <w:suppressLineNumbers w:val="0"/>
              <w:spacing w:before="0" w:beforeAutospacing="0" w:after="0" w:afterAutospacing="0" w:line="560" w:lineRule="exact"/>
              <w:ind w:left="0" w:right="0"/>
              <w:jc w:val="center"/>
              <w:rPr>
                <w:rFonts w:hint="eastAsia" w:ascii="仿宋_GB2312" w:eastAsia="仿宋" w:cs="ArialUnicodeMS" w:hAnsiTheme="minorHAnsi"/>
                <w:kern w:val="0"/>
                <w:sz w:val="24"/>
                <w:szCs w:val="24"/>
                <w:lang w:eastAsia="zh-CN"/>
              </w:rPr>
            </w:pPr>
            <w:r>
              <w:rPr>
                <w:rFonts w:hint="eastAsia" w:ascii="仿宋" w:hAnsi="仿宋" w:eastAsia="仿宋" w:cs="仿宋"/>
                <w:sz w:val="24"/>
                <w:szCs w:val="24"/>
              </w:rPr>
              <w:t>行政</w:t>
            </w:r>
            <w:r>
              <w:rPr>
                <w:rFonts w:hint="eastAsia" w:ascii="仿宋" w:hAnsi="仿宋" w:eastAsia="仿宋" w:cs="仿宋"/>
                <w:sz w:val="24"/>
                <w:szCs w:val="24"/>
                <w:lang w:eastAsia="zh-CN"/>
              </w:rPr>
              <w:t>单位</w:t>
            </w:r>
          </w:p>
        </w:tc>
        <w:tc>
          <w:tcPr>
            <w:tcW w:w="266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4"/>
                <w:szCs w:val="24"/>
              </w:rPr>
            </w:pPr>
            <w:r>
              <w:rPr>
                <w:rFonts w:hint="eastAsia" w:ascii="仿宋" w:hAnsi="仿宋" w:eastAsia="仿宋" w:cs="仿宋"/>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keepNext w:val="0"/>
              <w:keepLines w:val="0"/>
              <w:suppressLineNumbers w:val="0"/>
              <w:spacing w:before="0" w:beforeAutospacing="0" w:after="0" w:afterAutospacing="0" w:line="560" w:lineRule="exact"/>
              <w:ind w:left="0" w:right="0" w:firstLine="560" w:firstLineChars="200"/>
              <w:jc w:val="left"/>
              <w:rPr>
                <w:rFonts w:hint="default"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440" w:lineRule="exact"/>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3267"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大厂回族自治县供销合作社</w:t>
            </w:r>
          </w:p>
        </w:tc>
        <w:tc>
          <w:tcPr>
            <w:tcW w:w="133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240.80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1.53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0.60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240.66</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0.95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240.80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243.74</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cs="宋体"/>
                <w:color w:val="000000"/>
                <w:sz w:val="21"/>
                <w:szCs w:val="21"/>
                <w:lang w:val="en-US" w:eastAsia="zh-CN"/>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4.70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1.76</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245.50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245.50</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20" w:type="dxa"/>
        <w:jc w:val="center"/>
        <w:tblInd w:w="0" w:type="dxa"/>
        <w:tblLayout w:type="fixed"/>
        <w:tblCellMar>
          <w:top w:w="0" w:type="dxa"/>
          <w:left w:w="0" w:type="dxa"/>
          <w:bottom w:w="0" w:type="dxa"/>
          <w:right w:w="0" w:type="dxa"/>
        </w:tblCellMar>
      </w:tblPr>
      <w:tblGrid>
        <w:gridCol w:w="336"/>
        <w:gridCol w:w="179"/>
        <w:gridCol w:w="521"/>
        <w:gridCol w:w="1321"/>
        <w:gridCol w:w="535"/>
        <w:gridCol w:w="260"/>
        <w:gridCol w:w="127"/>
        <w:gridCol w:w="690"/>
        <w:gridCol w:w="233"/>
        <w:gridCol w:w="585"/>
        <w:gridCol w:w="338"/>
        <w:gridCol w:w="479"/>
        <w:gridCol w:w="443"/>
        <w:gridCol w:w="1"/>
        <w:gridCol w:w="373"/>
        <w:gridCol w:w="549"/>
        <w:gridCol w:w="1"/>
        <w:gridCol w:w="921"/>
        <w:gridCol w:w="2"/>
        <w:gridCol w:w="926"/>
      </w:tblGrid>
      <w:tr>
        <w:tblPrEx>
          <w:tblLayout w:type="fixed"/>
          <w:tblCellMar>
            <w:top w:w="0" w:type="dxa"/>
            <w:left w:w="0" w:type="dxa"/>
            <w:bottom w:w="0" w:type="dxa"/>
            <w:right w:w="0" w:type="dxa"/>
          </w:tblCellMar>
        </w:tblPrEx>
        <w:trPr>
          <w:trHeight w:val="833" w:hRule="atLeast"/>
          <w:jc w:val="center"/>
        </w:trPr>
        <w:tc>
          <w:tcPr>
            <w:tcW w:w="8820" w:type="dxa"/>
            <w:gridSpan w:val="2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Autospacing="0"/>
              <w:ind w:left="0" w:right="0"/>
              <w:jc w:val="center"/>
              <w:textAlignment w:val="bottom"/>
              <w:rPr>
                <w:rFonts w:hint="default"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93" w:hRule="atLeast"/>
          <w:jc w:val="center"/>
        </w:trPr>
        <w:tc>
          <w:tcPr>
            <w:tcW w:w="3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52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32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5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39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93" w:hRule="atLeast"/>
          <w:jc w:val="center"/>
        </w:trPr>
        <w:tc>
          <w:tcPr>
            <w:tcW w:w="31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大厂回族自治县供销合作社</w:t>
            </w:r>
          </w:p>
        </w:tc>
        <w:tc>
          <w:tcPr>
            <w:tcW w:w="81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81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39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65" w:hRule="atLeast"/>
          <w:jc w:val="center"/>
        </w:trPr>
        <w:tc>
          <w:tcPr>
            <w:tcW w:w="2357"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项目</w:t>
            </w:r>
          </w:p>
        </w:tc>
        <w:tc>
          <w:tcPr>
            <w:tcW w:w="922"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本年收入合计</w:t>
            </w:r>
          </w:p>
        </w:tc>
        <w:tc>
          <w:tcPr>
            <w:tcW w:w="923"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财政拨款收入</w:t>
            </w:r>
          </w:p>
        </w:tc>
        <w:tc>
          <w:tcPr>
            <w:tcW w:w="923"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上级补助收入</w:t>
            </w:r>
          </w:p>
        </w:tc>
        <w:tc>
          <w:tcPr>
            <w:tcW w:w="92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事业收入</w:t>
            </w:r>
          </w:p>
        </w:tc>
        <w:tc>
          <w:tcPr>
            <w:tcW w:w="923"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经营收入</w:t>
            </w:r>
          </w:p>
        </w:tc>
        <w:tc>
          <w:tcPr>
            <w:tcW w:w="92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8" w:type="dxa"/>
            <w:gridSpan w:val="2"/>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79"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功能分类科目编码</w:t>
            </w:r>
          </w:p>
        </w:tc>
        <w:tc>
          <w:tcPr>
            <w:tcW w:w="1321"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科目名称</w:t>
            </w:r>
          </w:p>
        </w:tc>
        <w:tc>
          <w:tcPr>
            <w:tcW w:w="922"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3"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3"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8" w:type="dxa"/>
            <w:gridSpan w:val="2"/>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r>
      <w:tr>
        <w:tblPrEx>
          <w:tblLayout w:type="fixed"/>
          <w:tblCellMar>
            <w:top w:w="0" w:type="dxa"/>
            <w:left w:w="0" w:type="dxa"/>
            <w:bottom w:w="0" w:type="dxa"/>
            <w:right w:w="0" w:type="dxa"/>
          </w:tblCellMar>
        </w:tblPrEx>
        <w:trPr>
          <w:trHeight w:val="486" w:hRule="atLeast"/>
          <w:jc w:val="center"/>
        </w:trPr>
        <w:tc>
          <w:tcPr>
            <w:tcW w:w="235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合计</w:t>
            </w:r>
          </w:p>
        </w:tc>
        <w:tc>
          <w:tcPr>
            <w:tcW w:w="92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lang w:val="en-US" w:eastAsia="zh-CN"/>
              </w:rPr>
            </w:pPr>
            <w:r>
              <w:rPr>
                <w:rFonts w:hint="eastAsia" w:ascii="宋体" w:hAnsi="宋体" w:cs="宋体"/>
                <w:b/>
                <w:color w:val="000000"/>
                <w:sz w:val="18"/>
                <w:szCs w:val="18"/>
                <w:lang w:val="en-US" w:eastAsia="zh-CN"/>
              </w:rPr>
              <w:t>240.80</w:t>
            </w:r>
          </w:p>
        </w:tc>
        <w:tc>
          <w:tcPr>
            <w:tcW w:w="92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lang w:val="en-US" w:eastAsia="zh-CN"/>
              </w:rPr>
            </w:pPr>
            <w:r>
              <w:rPr>
                <w:rFonts w:hint="eastAsia" w:ascii="宋体" w:hAnsi="宋体" w:cs="宋体"/>
                <w:b/>
                <w:color w:val="000000"/>
                <w:sz w:val="18"/>
                <w:szCs w:val="18"/>
                <w:lang w:val="en-US" w:eastAsia="zh-CN"/>
              </w:rPr>
              <w:t>240.80</w:t>
            </w:r>
          </w:p>
        </w:tc>
        <w:tc>
          <w:tcPr>
            <w:tcW w:w="92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b/>
                <w:color w:val="000000"/>
                <w:sz w:val="18"/>
                <w:szCs w:val="18"/>
                <w:lang w:val="en-US" w:eastAsia="zh-CN"/>
              </w:rPr>
            </w:pPr>
          </w:p>
        </w:tc>
        <w:tc>
          <w:tcPr>
            <w:tcW w:w="92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rPr>
            </w:pPr>
          </w:p>
        </w:tc>
        <w:tc>
          <w:tcPr>
            <w:tcW w:w="92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rPr>
            </w:pPr>
          </w:p>
        </w:tc>
        <w:tc>
          <w:tcPr>
            <w:tcW w:w="92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rPr>
            </w:pPr>
          </w:p>
        </w:tc>
        <w:tc>
          <w:tcPr>
            <w:tcW w:w="92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b/>
                <w:color w:val="000000"/>
                <w:sz w:val="18"/>
                <w:szCs w:val="18"/>
              </w:rPr>
            </w:pPr>
          </w:p>
        </w:tc>
      </w:tr>
      <w:tr>
        <w:tblPrEx>
          <w:tblLayout w:type="fixed"/>
          <w:tblCellMar>
            <w:top w:w="0" w:type="dxa"/>
            <w:left w:w="0" w:type="dxa"/>
            <w:bottom w:w="0" w:type="dxa"/>
            <w:right w:w="0" w:type="dxa"/>
          </w:tblCellMar>
        </w:tblPrEx>
        <w:trPr>
          <w:trHeight w:val="90"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208</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社会保障和就业支出</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587"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20805</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行政事业单位离退休</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876"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2080505</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机关事业单位基本养老保险缴费支出</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1.53</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677"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210</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医疗卫生与计划生育支出</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677"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21011</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行政事业单位医疗</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677"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2101101</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行政单位医疗</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lang w:val="en-US" w:eastAsia="zh-CN"/>
              </w:rPr>
            </w:pPr>
            <w:r>
              <w:rPr>
                <w:rFonts w:hint="eastAsia" w:ascii="宋体" w:hAnsi="宋体" w:cs="宋体"/>
                <w:color w:val="000000"/>
                <w:sz w:val="20"/>
                <w:szCs w:val="20"/>
                <w:lang w:val="en-US" w:eastAsia="zh-CN"/>
              </w:rPr>
              <w:t>0.60</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677"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216</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商业服务业等支出</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578"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21602</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商业流通事务</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533" w:hRule="atLeast"/>
          <w:jc w:val="center"/>
        </w:trPr>
        <w:tc>
          <w:tcPr>
            <w:tcW w:w="10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2160201</w:t>
            </w:r>
          </w:p>
        </w:tc>
        <w:tc>
          <w:tcPr>
            <w:tcW w:w="13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行政运行</w:t>
            </w:r>
          </w:p>
        </w:tc>
        <w:tc>
          <w:tcPr>
            <w:tcW w:w="92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237.72</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533" w:hRule="atLeast"/>
          <w:jc w:val="center"/>
        </w:trPr>
        <w:tc>
          <w:tcPr>
            <w:tcW w:w="103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221</w:t>
            </w:r>
          </w:p>
        </w:tc>
        <w:tc>
          <w:tcPr>
            <w:tcW w:w="1321" w:type="dxa"/>
            <w:tcBorders>
              <w:top w:val="nil"/>
              <w:left w:val="nil"/>
              <w:bottom w:val="single" w:color="auto"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住房保障支出</w:t>
            </w:r>
          </w:p>
        </w:tc>
        <w:tc>
          <w:tcPr>
            <w:tcW w:w="922"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0.95</w:t>
            </w:r>
          </w:p>
        </w:tc>
        <w:tc>
          <w:tcPr>
            <w:tcW w:w="92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Cs w:val="21"/>
                <w:lang w:val="en-US" w:eastAsia="zh-CN"/>
              </w:rPr>
            </w:pPr>
            <w:r>
              <w:rPr>
                <w:rFonts w:hint="eastAsia" w:ascii="宋体" w:hAnsi="宋体" w:cs="宋体"/>
                <w:color w:val="000000"/>
                <w:sz w:val="20"/>
                <w:szCs w:val="20"/>
                <w:lang w:val="en-US" w:eastAsia="zh-CN"/>
              </w:rPr>
              <w:t>0.95</w:t>
            </w:r>
          </w:p>
        </w:tc>
        <w:tc>
          <w:tcPr>
            <w:tcW w:w="92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eastAsia="宋体" w:cs="宋体"/>
                <w:color w:val="000000"/>
                <w:sz w:val="20"/>
                <w:szCs w:val="20"/>
                <w:lang w:val="en-US" w:eastAsia="zh-CN"/>
              </w:rPr>
            </w:pPr>
          </w:p>
        </w:tc>
        <w:tc>
          <w:tcPr>
            <w:tcW w:w="92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3"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2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528" w:hRule="atLeast"/>
          <w:jc w:val="center"/>
        </w:trPr>
        <w:tc>
          <w:tcPr>
            <w:tcW w:w="10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22102</w:t>
            </w:r>
          </w:p>
        </w:tc>
        <w:tc>
          <w:tcPr>
            <w:tcW w:w="13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住房改革支出</w:t>
            </w:r>
          </w:p>
        </w:tc>
        <w:tc>
          <w:tcPr>
            <w:tcW w:w="92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0.95</w:t>
            </w:r>
          </w:p>
        </w:tc>
        <w:tc>
          <w:tcPr>
            <w:tcW w:w="92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0.95</w:t>
            </w:r>
          </w:p>
        </w:tc>
        <w:tc>
          <w:tcPr>
            <w:tcW w:w="92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eastAsia="宋体"/>
                <w:sz w:val="20"/>
                <w:szCs w:val="20"/>
                <w:lang w:val="en-US" w:eastAsia="zh-CN"/>
              </w:rPr>
            </w:pPr>
          </w:p>
        </w:tc>
        <w:tc>
          <w:tcPr>
            <w:tcW w:w="92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sz w:val="20"/>
                <w:szCs w:val="20"/>
              </w:rPr>
            </w:pPr>
          </w:p>
        </w:tc>
        <w:tc>
          <w:tcPr>
            <w:tcW w:w="92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sz w:val="20"/>
                <w:szCs w:val="20"/>
              </w:rPr>
            </w:pPr>
          </w:p>
        </w:tc>
        <w:tc>
          <w:tcPr>
            <w:tcW w:w="92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sz w:val="20"/>
                <w:szCs w:val="20"/>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sz w:val="20"/>
                <w:szCs w:val="20"/>
              </w:rPr>
            </w:pPr>
          </w:p>
        </w:tc>
      </w:tr>
      <w:tr>
        <w:tblPrEx>
          <w:tblLayout w:type="fixed"/>
          <w:tblCellMar>
            <w:top w:w="0" w:type="dxa"/>
            <w:left w:w="0" w:type="dxa"/>
            <w:bottom w:w="0" w:type="dxa"/>
            <w:right w:w="0" w:type="dxa"/>
          </w:tblCellMar>
        </w:tblPrEx>
        <w:trPr>
          <w:trHeight w:val="512" w:hRule="atLeast"/>
          <w:jc w:val="center"/>
        </w:trPr>
        <w:tc>
          <w:tcPr>
            <w:tcW w:w="1036"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2210201</w:t>
            </w:r>
          </w:p>
        </w:tc>
        <w:tc>
          <w:tcPr>
            <w:tcW w:w="13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住房公积金</w:t>
            </w:r>
          </w:p>
        </w:tc>
        <w:tc>
          <w:tcPr>
            <w:tcW w:w="922"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szCs w:val="21"/>
                <w:lang w:val="en-US" w:eastAsia="zh-CN"/>
              </w:rPr>
            </w:pPr>
            <w:r>
              <w:rPr>
                <w:rFonts w:hint="eastAsia" w:ascii="宋体" w:hAnsi="宋体" w:cs="宋体"/>
                <w:color w:val="000000"/>
                <w:kern w:val="0"/>
                <w:sz w:val="20"/>
                <w:szCs w:val="20"/>
                <w:lang w:val="en-US" w:eastAsia="zh-CN"/>
              </w:rPr>
              <w:t>0.95</w:t>
            </w:r>
          </w:p>
        </w:tc>
        <w:tc>
          <w:tcPr>
            <w:tcW w:w="923" w:type="dxa"/>
            <w:gridSpan w:val="2"/>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cs="宋体"/>
                <w:color w:val="000000"/>
                <w:szCs w:val="21"/>
                <w:lang w:val="en-US" w:eastAsia="zh-CN"/>
              </w:rPr>
            </w:pPr>
            <w:r>
              <w:rPr>
                <w:rFonts w:hint="eastAsia" w:ascii="宋体" w:hAnsi="宋体" w:cs="宋体"/>
                <w:color w:val="000000"/>
                <w:kern w:val="0"/>
                <w:sz w:val="20"/>
                <w:szCs w:val="20"/>
                <w:lang w:val="en-US" w:eastAsia="zh-CN"/>
              </w:rPr>
              <w:t>0.95</w:t>
            </w:r>
          </w:p>
        </w:tc>
        <w:tc>
          <w:tcPr>
            <w:tcW w:w="923" w:type="dxa"/>
            <w:gridSpan w:val="2"/>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eastAsia="宋体" w:cs="宋体"/>
                <w:color w:val="000000"/>
                <w:kern w:val="0"/>
                <w:sz w:val="20"/>
                <w:szCs w:val="20"/>
                <w:lang w:val="en-US" w:eastAsia="zh-CN"/>
              </w:rPr>
            </w:pPr>
          </w:p>
        </w:tc>
        <w:tc>
          <w:tcPr>
            <w:tcW w:w="923"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3"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3" w:type="dxa"/>
            <w:gridSpan w:val="2"/>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kern w:val="0"/>
                <w:sz w:val="20"/>
                <w:szCs w:val="20"/>
              </w:rPr>
            </w:pPr>
          </w:p>
        </w:tc>
        <w:tc>
          <w:tcPr>
            <w:tcW w:w="92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tLeast"/>
              <w:ind w:left="0" w:right="0"/>
              <w:jc w:val="center"/>
              <w:textAlignment w:val="center"/>
              <w:rPr>
                <w:rFonts w:hint="default"/>
                <w:sz w:val="20"/>
                <w:szCs w:val="20"/>
              </w:rPr>
            </w:pPr>
          </w:p>
        </w:tc>
      </w:tr>
    </w:tbl>
    <w:p>
      <w:pPr>
        <w:widowControl/>
        <w:spacing w:after="0" w:line="560" w:lineRule="exact"/>
        <w:jc w:val="center"/>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726"/>
        <w:gridCol w:w="1530"/>
        <w:gridCol w:w="311"/>
        <w:gridCol w:w="754"/>
        <w:gridCol w:w="364"/>
        <w:gridCol w:w="761"/>
        <w:gridCol w:w="359"/>
        <w:gridCol w:w="586"/>
        <w:gridCol w:w="532"/>
        <w:gridCol w:w="428"/>
        <w:gridCol w:w="692"/>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7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31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大厂回族自治县供销合作社</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项目</w:t>
            </w:r>
          </w:p>
        </w:tc>
        <w:tc>
          <w:tcPr>
            <w:tcW w:w="106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本年支出</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合计</w:t>
            </w:r>
          </w:p>
        </w:tc>
        <w:tc>
          <w:tcPr>
            <w:tcW w:w="112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基本支出</w:t>
            </w:r>
          </w:p>
        </w:tc>
        <w:tc>
          <w:tcPr>
            <w:tcW w:w="94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项目支出</w:t>
            </w:r>
          </w:p>
        </w:tc>
        <w:tc>
          <w:tcPr>
            <w:tcW w:w="96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上缴上级支出</w:t>
            </w:r>
          </w:p>
        </w:tc>
        <w:tc>
          <w:tcPr>
            <w:tcW w:w="986"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对附属单位补助支出</w:t>
            </w:r>
          </w:p>
        </w:tc>
      </w:tr>
      <w:tr>
        <w:tblPrEx>
          <w:tblLayout w:type="fixed"/>
          <w:tblCellMar>
            <w:top w:w="0" w:type="dxa"/>
            <w:left w:w="0" w:type="dxa"/>
            <w:bottom w:w="0" w:type="dxa"/>
            <w:right w:w="0" w:type="dxa"/>
          </w:tblCellMar>
        </w:tblPrEx>
        <w:trPr>
          <w:trHeight w:val="782" w:hRule="atLeast"/>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功能分类科目编码</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科目名称</w:t>
            </w:r>
          </w:p>
        </w:tc>
        <w:tc>
          <w:tcPr>
            <w:tcW w:w="106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112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4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6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986"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95" w:hRule="atLeast"/>
        </w:trPr>
        <w:tc>
          <w:tcPr>
            <w:tcW w:w="283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栏次</w:t>
            </w:r>
          </w:p>
        </w:tc>
        <w:tc>
          <w:tcPr>
            <w:tcW w:w="10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1</w:t>
            </w:r>
          </w:p>
        </w:tc>
        <w:tc>
          <w:tcPr>
            <w:tcW w:w="112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2</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3</w:t>
            </w:r>
          </w:p>
        </w:tc>
        <w:tc>
          <w:tcPr>
            <w:tcW w:w="96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4</w:t>
            </w:r>
          </w:p>
        </w:tc>
        <w:tc>
          <w:tcPr>
            <w:tcW w:w="98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0" w:type="dxa"/>
            <w:left w:w="0" w:type="dxa"/>
            <w:bottom w:w="0" w:type="dxa"/>
            <w:right w:w="0" w:type="dxa"/>
          </w:tblCellMar>
        </w:tblPrEx>
        <w:trPr>
          <w:trHeight w:val="440" w:hRule="atLeast"/>
        </w:trPr>
        <w:tc>
          <w:tcPr>
            <w:tcW w:w="283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合计</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243.74</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 w:val="20"/>
                <w:szCs w:val="20"/>
              </w:rPr>
            </w:pPr>
            <w:r>
              <w:rPr>
                <w:rFonts w:hint="eastAsia" w:ascii="宋体" w:hAnsi="宋体" w:cs="宋体"/>
                <w:b/>
                <w:color w:val="000000"/>
                <w:sz w:val="20"/>
                <w:szCs w:val="20"/>
                <w:lang w:val="en-US" w:eastAsia="zh-CN"/>
              </w:rPr>
              <w:t>243.74</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 w:val="20"/>
                <w:szCs w:val="20"/>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 w:val="20"/>
                <w:szCs w:val="20"/>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 w:val="20"/>
                <w:szCs w:val="20"/>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社会保障和就业支出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1.53</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行政事业单位离退休</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1.53</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2080505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机关事业单位基本养老保险缴费支出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1.53</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医疗卫生与计划生育支出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0.60</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21011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行政事业单位医疗</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0.60</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2101101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行政单位医疗</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0.60</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商业服务业等支出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240.66</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21602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商业流通事务</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240.66</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2160201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行政运行</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240.66</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住房保障支出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0.95</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22102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住房改革支出</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0.95</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2210201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住房公积金</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0.95</w:t>
            </w:r>
          </w:p>
        </w:tc>
        <w:tc>
          <w:tcPr>
            <w:tcW w:w="11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9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9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大厂回族自治县供销合作社</w:t>
            </w:r>
          </w:p>
        </w:tc>
        <w:tc>
          <w:tcPr>
            <w:tcW w:w="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240.80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0.60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240.66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0.95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240.80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243.74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4.70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4.70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245.50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245.50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line="240" w:lineRule="auto"/>
              <w:ind w:left="0" w:right="0"/>
              <w:jc w:val="center"/>
              <w:textAlignment w:val="bottom"/>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大厂回族自治县供销合作社</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default"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Cs w:val="21"/>
              </w:rPr>
            </w:pPr>
            <w:r>
              <w:rPr>
                <w:rFonts w:hint="eastAsia" w:ascii="宋体" w:hAnsi="宋体" w:cs="宋体"/>
                <w:b/>
                <w:color w:val="000000"/>
                <w:sz w:val="20"/>
                <w:szCs w:val="20"/>
                <w:lang w:val="en-US" w:eastAsia="zh-CN"/>
              </w:rPr>
              <w:t>243.74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Cs w:val="21"/>
              </w:rPr>
            </w:pPr>
            <w:r>
              <w:rPr>
                <w:rFonts w:hint="eastAsia" w:ascii="宋体" w:hAnsi="宋体" w:cs="宋体"/>
                <w:b/>
                <w:color w:val="000000"/>
                <w:sz w:val="20"/>
                <w:szCs w:val="20"/>
                <w:lang w:val="en-US" w:eastAsia="zh-CN"/>
              </w:rPr>
              <w:t>243.74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b/>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1.53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2101101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lang w:val="en-US"/>
              </w:rPr>
            </w:pPr>
            <w:r>
              <w:rPr>
                <w:rFonts w:hint="eastAsia" w:ascii="宋体" w:hAnsi="宋体" w:cs="宋体"/>
                <w:color w:val="000000"/>
                <w:szCs w:val="21"/>
                <w:lang w:val="en-US" w:eastAsia="zh-CN"/>
              </w:rPr>
              <w:t>0.60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商业服务业等支出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商业流通事务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2160201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240.66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default" w:ascii="宋体" w:hAnsi="宋体" w:cs="宋体"/>
                <w:color w:val="000000"/>
                <w:kern w:val="0"/>
                <w:sz w:val="20"/>
                <w:szCs w:val="20"/>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line="240" w:lineRule="atLeast"/>
              <w:ind w:left="0" w:right="0"/>
              <w:jc w:val="center"/>
              <w:textAlignment w:val="center"/>
              <w:rPr>
                <w:rFonts w:hint="default" w:ascii="宋体" w:hAnsi="宋体" w:cs="宋体"/>
                <w:color w:val="000000"/>
                <w:szCs w:val="21"/>
              </w:rPr>
            </w:pPr>
            <w:r>
              <w:rPr>
                <w:rFonts w:hint="default" w:ascii="宋体" w:hAnsi="宋体" w:cs="宋体"/>
                <w:color w:val="000000"/>
                <w:kern w:val="0"/>
                <w:sz w:val="20"/>
                <w:szCs w:val="20"/>
              </w:rPr>
              <w:t>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r>
              <w:rPr>
                <w:rFonts w:hint="eastAsia" w:ascii="宋体" w:hAnsi="宋体" w:cs="宋体"/>
                <w:color w:val="000000"/>
                <w:szCs w:val="21"/>
                <w:lang w:val="en-US" w:eastAsia="zh-CN"/>
              </w:rPr>
              <w:t>0.95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default"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default"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lang w:eastAsia="zh-CN"/>
              </w:rPr>
              <w:t>大厂回族自治县供销合作社</w:t>
            </w: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default"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182.23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27.24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53.41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4.52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73.04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0.32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4.22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0.55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0.95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0.48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34.27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25.64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8.58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default"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default"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center"/>
              <w:textAlignment w:val="center"/>
              <w:rPr>
                <w:rFonts w:hint="default"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center"/>
              <w:textAlignment w:val="center"/>
              <w:rPr>
                <w:rFonts w:hint="default"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default" w:ascii="宋体" w:hAnsi="宋体" w:cs="宋体"/>
                <w:color w:val="000000"/>
                <w:sz w:val="16"/>
                <w:szCs w:val="16"/>
              </w:rPr>
            </w:pP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default"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大厂回族自治县供销合作社</w:t>
            </w: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default"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0.11</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default"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大厂回族自治县供销合作社</w:t>
            </w:r>
          </w:p>
        </w:tc>
        <w:tc>
          <w:tcPr>
            <w:tcW w:w="8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default"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default"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textAlignment w:val="center"/>
              <w:rPr>
                <w:rFonts w:hint="default" w:ascii="宋体" w:hAnsi="宋体" w:cs="宋体"/>
                <w:color w:val="000000"/>
                <w:szCs w:val="21"/>
              </w:rPr>
            </w:pPr>
            <w:r>
              <w:rPr>
                <w:rFonts w:hint="eastAsia" w:ascii="宋体" w:hAnsi="宋体" w:cs="宋体"/>
                <w:color w:val="000000"/>
                <w:kern w:val="0"/>
                <w:szCs w:val="21"/>
              </w:rPr>
              <w:t>注：本部门本年</w:t>
            </w:r>
            <w:r>
              <w:rPr>
                <w:rFonts w:hint="eastAsia" w:ascii="宋体" w:hAnsi="宋体" w:cs="宋体"/>
                <w:color w:val="000000"/>
                <w:kern w:val="0"/>
                <w:szCs w:val="21"/>
                <w:lang w:eastAsia="zh-CN"/>
              </w:rPr>
              <w:t>度无相关</w:t>
            </w:r>
            <w:r>
              <w:rPr>
                <w:rFonts w:hint="eastAsia" w:ascii="宋体" w:hAnsi="宋体" w:cs="宋体"/>
                <w:color w:val="000000"/>
                <w:kern w:val="0"/>
                <w:szCs w:val="21"/>
              </w:rPr>
              <w:t>收入</w:t>
            </w:r>
            <w:r>
              <w:rPr>
                <w:rFonts w:hint="eastAsia" w:ascii="宋体" w:hAnsi="宋体" w:cs="宋体"/>
                <w:color w:val="000000"/>
                <w:kern w:val="0"/>
                <w:szCs w:val="21"/>
                <w:lang w:eastAsia="zh-CN"/>
              </w:rPr>
              <w:t>（或</w:t>
            </w:r>
            <w:r>
              <w:rPr>
                <w:rFonts w:hint="eastAsia" w:ascii="宋体" w:hAnsi="宋体" w:cs="宋体"/>
                <w:color w:val="000000"/>
                <w:kern w:val="0"/>
                <w:szCs w:val="21"/>
              </w:rPr>
              <w:t>支出</w:t>
            </w:r>
            <w:r>
              <w:rPr>
                <w:rFonts w:hint="eastAsia" w:ascii="宋体" w:hAnsi="宋体" w:cs="宋体"/>
                <w:color w:val="000000"/>
                <w:kern w:val="0"/>
                <w:szCs w:val="21"/>
                <w:lang w:eastAsia="zh-CN"/>
              </w:rPr>
              <w:t>、收支</w:t>
            </w:r>
            <w:r>
              <w:rPr>
                <w:rFonts w:hint="eastAsia" w:ascii="宋体" w:hAnsi="宋体" w:cs="宋体"/>
                <w:color w:val="000000"/>
                <w:kern w:val="0"/>
                <w:szCs w:val="21"/>
              </w:rPr>
              <w:t>及结转结余</w:t>
            </w:r>
            <w:r>
              <w:rPr>
                <w:rFonts w:hint="eastAsia" w:ascii="宋体" w:hAnsi="宋体" w:cs="宋体"/>
                <w:color w:val="000000"/>
                <w:kern w:val="0"/>
                <w:szCs w:val="21"/>
                <w:lang w:eastAsia="zh-CN"/>
              </w:rPr>
              <w:t>等）</w:t>
            </w:r>
            <w:r>
              <w:rPr>
                <w:rFonts w:hint="eastAsia" w:ascii="宋体" w:hAnsi="宋体" w:cs="宋体"/>
                <w:color w:val="000000"/>
                <w:kern w:val="0"/>
                <w:szCs w:val="21"/>
              </w:rPr>
              <w:t>情况</w:t>
            </w:r>
            <w:r>
              <w:rPr>
                <w:rFonts w:hint="eastAsia" w:ascii="宋体" w:hAnsi="宋体" w:cs="宋体"/>
                <w:color w:val="000000"/>
                <w:kern w:val="0"/>
                <w:szCs w:val="21"/>
                <w:lang w:eastAsia="zh-CN"/>
              </w:rPr>
              <w:t>，按要求空表列示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default"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default"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lang w:eastAsia="zh-CN"/>
              </w:rPr>
              <w:t>大厂回族自治县供销合作社</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default"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default"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本部门本年</w:t>
            </w:r>
            <w:r>
              <w:rPr>
                <w:rFonts w:hint="eastAsia" w:ascii="宋体" w:hAnsi="宋体" w:cs="宋体"/>
                <w:color w:val="000000"/>
                <w:kern w:val="0"/>
                <w:szCs w:val="21"/>
                <w:lang w:eastAsia="zh-CN"/>
              </w:rPr>
              <w:t>度无相关</w:t>
            </w:r>
            <w:r>
              <w:rPr>
                <w:rFonts w:hint="eastAsia" w:ascii="宋体" w:hAnsi="宋体" w:cs="宋体"/>
                <w:color w:val="000000"/>
                <w:kern w:val="0"/>
                <w:szCs w:val="21"/>
              </w:rPr>
              <w:t>收入</w:t>
            </w:r>
            <w:r>
              <w:rPr>
                <w:rFonts w:hint="eastAsia" w:ascii="宋体" w:hAnsi="宋体" w:cs="宋体"/>
                <w:color w:val="000000"/>
                <w:kern w:val="0"/>
                <w:szCs w:val="21"/>
                <w:lang w:eastAsia="zh-CN"/>
              </w:rPr>
              <w:t>（或</w:t>
            </w:r>
            <w:r>
              <w:rPr>
                <w:rFonts w:hint="eastAsia" w:ascii="宋体" w:hAnsi="宋体" w:cs="宋体"/>
                <w:color w:val="000000"/>
                <w:kern w:val="0"/>
                <w:szCs w:val="21"/>
              </w:rPr>
              <w:t>支出</w:t>
            </w:r>
            <w:r>
              <w:rPr>
                <w:rFonts w:hint="eastAsia" w:ascii="宋体" w:hAnsi="宋体" w:cs="宋体"/>
                <w:color w:val="000000"/>
                <w:kern w:val="0"/>
                <w:szCs w:val="21"/>
                <w:lang w:eastAsia="zh-CN"/>
              </w:rPr>
              <w:t>、收支</w:t>
            </w:r>
            <w:r>
              <w:rPr>
                <w:rFonts w:hint="eastAsia" w:ascii="宋体" w:hAnsi="宋体" w:cs="宋体"/>
                <w:color w:val="000000"/>
                <w:kern w:val="0"/>
                <w:szCs w:val="21"/>
              </w:rPr>
              <w:t>及结转结余</w:t>
            </w:r>
            <w:r>
              <w:rPr>
                <w:rFonts w:hint="eastAsia" w:ascii="宋体" w:hAnsi="宋体" w:cs="宋体"/>
                <w:color w:val="000000"/>
                <w:kern w:val="0"/>
                <w:szCs w:val="21"/>
                <w:lang w:eastAsia="zh-CN"/>
              </w:rPr>
              <w:t>等）</w:t>
            </w:r>
            <w:r>
              <w:rPr>
                <w:rFonts w:hint="eastAsia" w:ascii="宋体" w:hAnsi="宋体" w:cs="宋体"/>
                <w:color w:val="000000"/>
                <w:kern w:val="0"/>
                <w:szCs w:val="21"/>
              </w:rPr>
              <w:t>情况</w:t>
            </w:r>
            <w:r>
              <w:rPr>
                <w:rFonts w:hint="eastAsia" w:ascii="宋体" w:hAnsi="宋体" w:cs="宋体"/>
                <w:color w:val="000000"/>
                <w:kern w:val="0"/>
                <w:szCs w:val="21"/>
                <w:lang w:eastAsia="zh-CN"/>
              </w:rPr>
              <w:t>，按要求空表列示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default"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default"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大厂回族自治县供销合作社</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default"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default"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default" w:ascii="宋体" w:hAnsi="宋体" w:cs="宋体"/>
                <w:color w:val="000000"/>
                <w:szCs w:val="21"/>
              </w:rPr>
            </w:pPr>
            <w:r>
              <w:rPr>
                <w:rFonts w:hint="eastAsia" w:ascii="宋体" w:hAnsi="宋体" w:cs="宋体"/>
                <w:color w:val="000000"/>
                <w:kern w:val="0"/>
                <w:szCs w:val="21"/>
              </w:rPr>
              <w:t>注：本部门本年</w:t>
            </w:r>
            <w:r>
              <w:rPr>
                <w:rFonts w:hint="eastAsia" w:ascii="宋体" w:hAnsi="宋体" w:cs="宋体"/>
                <w:color w:val="000000"/>
                <w:kern w:val="0"/>
                <w:szCs w:val="21"/>
                <w:lang w:eastAsia="zh-CN"/>
              </w:rPr>
              <w:t>度无相关</w:t>
            </w:r>
            <w:r>
              <w:rPr>
                <w:rFonts w:hint="eastAsia" w:ascii="宋体" w:hAnsi="宋体" w:cs="宋体"/>
                <w:color w:val="000000"/>
                <w:kern w:val="0"/>
                <w:szCs w:val="21"/>
              </w:rPr>
              <w:t>收入</w:t>
            </w:r>
            <w:r>
              <w:rPr>
                <w:rFonts w:hint="eastAsia" w:ascii="宋体" w:hAnsi="宋体" w:cs="宋体"/>
                <w:color w:val="000000"/>
                <w:kern w:val="0"/>
                <w:szCs w:val="21"/>
                <w:lang w:eastAsia="zh-CN"/>
              </w:rPr>
              <w:t>（或</w:t>
            </w:r>
            <w:r>
              <w:rPr>
                <w:rFonts w:hint="eastAsia" w:ascii="宋体" w:hAnsi="宋体" w:cs="宋体"/>
                <w:color w:val="000000"/>
                <w:kern w:val="0"/>
                <w:szCs w:val="21"/>
              </w:rPr>
              <w:t>支出</w:t>
            </w:r>
            <w:r>
              <w:rPr>
                <w:rFonts w:hint="eastAsia" w:ascii="宋体" w:hAnsi="宋体" w:cs="宋体"/>
                <w:color w:val="000000"/>
                <w:kern w:val="0"/>
                <w:szCs w:val="21"/>
                <w:lang w:eastAsia="zh-CN"/>
              </w:rPr>
              <w:t>、收支</w:t>
            </w:r>
            <w:r>
              <w:rPr>
                <w:rFonts w:hint="eastAsia" w:ascii="宋体" w:hAnsi="宋体" w:cs="宋体"/>
                <w:color w:val="000000"/>
                <w:kern w:val="0"/>
                <w:szCs w:val="21"/>
              </w:rPr>
              <w:t>及结转结余</w:t>
            </w:r>
            <w:r>
              <w:rPr>
                <w:rFonts w:hint="eastAsia" w:ascii="宋体" w:hAnsi="宋体" w:cs="宋体"/>
                <w:color w:val="000000"/>
                <w:kern w:val="0"/>
                <w:szCs w:val="21"/>
                <w:lang w:eastAsia="zh-CN"/>
              </w:rPr>
              <w:t>等）</w:t>
            </w:r>
            <w:r>
              <w:rPr>
                <w:rFonts w:hint="eastAsia" w:ascii="宋体" w:hAnsi="宋体" w:cs="宋体"/>
                <w:color w:val="000000"/>
                <w:kern w:val="0"/>
                <w:szCs w:val="21"/>
              </w:rPr>
              <w:t>情况</w:t>
            </w:r>
            <w:r>
              <w:rPr>
                <w:rFonts w:hint="eastAsia" w:ascii="宋体" w:hAnsi="宋体" w:cs="宋体"/>
                <w:color w:val="000000"/>
                <w:kern w:val="0"/>
                <w:szCs w:val="21"/>
                <w:lang w:eastAsia="zh-CN"/>
              </w:rPr>
              <w:t>，按要求空表列示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245.50</w:t>
      </w:r>
      <w:r>
        <w:rPr>
          <w:rFonts w:hint="eastAsia" w:ascii="仿宋_GB2312" w:eastAsia="仿宋_GB2312" w:cs="DengXian-Regular"/>
          <w:sz w:val="32"/>
          <w:szCs w:val="32"/>
        </w:rPr>
        <w:t>万元。与2017年度决算相比，收支各减少</w:t>
      </w:r>
      <w:r>
        <w:rPr>
          <w:rFonts w:hint="eastAsia" w:ascii="仿宋_GB2312" w:eastAsia="仿宋_GB2312" w:cs="DengXian-Regular"/>
          <w:sz w:val="32"/>
          <w:szCs w:val="32"/>
          <w:lang w:val="en-US" w:eastAsia="zh-CN"/>
        </w:rPr>
        <w:t>27.54</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11.2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人员经费和办公经费减少</w:t>
      </w:r>
      <w:r>
        <w:rPr>
          <w:rFonts w:hint="eastAsia" w:ascii="仿宋_GB2312" w:eastAsia="仿宋_GB2312" w:cs="DengXian-Regular"/>
          <w:sz w:val="32"/>
          <w:szCs w:val="32"/>
        </w:rPr>
        <w:t>。</w:t>
      </w: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二、收入决算情况说明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240.80</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240.80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pageBreakBefore w:val="0"/>
        <w:kinsoku/>
        <w:wordWrap/>
        <w:overflowPunct/>
        <w:topLinePunct w:val="0"/>
        <w:autoSpaceDE/>
        <w:autoSpaceDN/>
        <w:bidi w:val="0"/>
        <w:adjustRightInd w:val="0"/>
        <w:snapToGrid w:val="0"/>
        <w:spacing w:line="584" w:lineRule="exact"/>
        <w:jc w:val="center"/>
        <w:textAlignment w:val="auto"/>
        <w:rPr>
          <w:rFonts w:eastAsia="仿宋_GB2312"/>
          <w:sz w:val="32"/>
          <w:szCs w:val="32"/>
        </w:rPr>
      </w:pPr>
      <w:r>
        <w:rPr>
          <w:rFonts w:eastAsia="仿宋_GB2312"/>
          <w:sz w:val="32"/>
          <w:szCs w:val="32"/>
        </w:rPr>
        <w:t>图1：收入决算结构饼状图</w:t>
      </w:r>
    </w:p>
    <w:p>
      <w:pPr>
        <w:pageBreakBefore w:val="0"/>
        <w:kinsoku/>
        <w:wordWrap/>
        <w:overflowPunct/>
        <w:topLinePunct w:val="0"/>
        <w:autoSpaceDE/>
        <w:autoSpaceDN/>
        <w:bidi w:val="0"/>
        <w:jc w:val="center"/>
        <w:textAlignment w:val="auto"/>
        <w:rPr>
          <w:rFonts w:hint="eastAsia" w:eastAsia="宋体"/>
          <w:lang w:eastAsia="zh-CN"/>
        </w:rPr>
      </w:pPr>
      <w:r>
        <w:rPr>
          <w:rFonts w:hint="eastAsia" w:eastAsia="宋体"/>
          <w:lang w:eastAsia="zh-CN"/>
        </w:rPr>
        <w:drawing>
          <wp:inline distT="0" distB="0" distL="114300" distR="114300">
            <wp:extent cx="3070860" cy="2247265"/>
            <wp:effectExtent l="5080" t="5080" r="10160"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三、支出决算情况说明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pageBreakBefore w:val="0"/>
        <w:kinsoku/>
        <w:wordWrap/>
        <w:overflowPunct/>
        <w:topLinePunct w:val="0"/>
        <w:autoSpaceDE/>
        <w:autoSpaceDN/>
        <w:bidi w:val="0"/>
        <w:adjustRightInd w:val="0"/>
        <w:snapToGrid w:val="0"/>
        <w:spacing w:after="0" w:line="580" w:lineRule="exact"/>
        <w:jc w:val="center"/>
        <w:textAlignment w:val="auto"/>
        <w:rPr>
          <w:rFonts w:eastAsia="仿宋_GB2312"/>
          <w:sz w:val="32"/>
          <w:szCs w:val="32"/>
        </w:rPr>
      </w:pPr>
    </w:p>
    <w:p>
      <w:pPr>
        <w:pageBreakBefore w:val="0"/>
        <w:kinsoku/>
        <w:wordWrap/>
        <w:overflowPunct/>
        <w:topLinePunct w:val="0"/>
        <w:autoSpaceDE/>
        <w:autoSpaceDN/>
        <w:bidi w:val="0"/>
        <w:adjustRightInd w:val="0"/>
        <w:snapToGrid w:val="0"/>
        <w:spacing w:after="0" w:line="580" w:lineRule="exact"/>
        <w:jc w:val="center"/>
        <w:textAlignment w:val="auto"/>
        <w:rPr>
          <w:rFonts w:eastAsia="仿宋_GB2312"/>
          <w:sz w:val="32"/>
          <w:szCs w:val="32"/>
        </w:rPr>
      </w:pPr>
      <w:r>
        <w:rPr>
          <w:rFonts w:eastAsia="仿宋_GB2312"/>
          <w:sz w:val="32"/>
          <w:szCs w:val="32"/>
        </w:rPr>
        <w:t>图2：支出决算结构饼状图</w:t>
      </w:r>
    </w:p>
    <w:p>
      <w:pPr>
        <w:pageBreakBefore w:val="0"/>
        <w:kinsoku/>
        <w:wordWrap/>
        <w:overflowPunct/>
        <w:topLinePunct w:val="0"/>
        <w:autoSpaceDE/>
        <w:autoSpaceDN/>
        <w:bidi w:val="0"/>
        <w:adjustRightInd w:val="0"/>
        <w:snapToGrid w:val="0"/>
        <w:spacing w:after="0" w:line="580" w:lineRule="exact"/>
        <w:jc w:val="center"/>
        <w:textAlignment w:val="auto"/>
        <w:rPr>
          <w:rFonts w:hint="eastAsia" w:eastAsia="仿宋_GB2312"/>
          <w:sz w:val="32"/>
          <w:szCs w:val="32"/>
          <w:lang w:eastAsia="zh-CN"/>
        </w:rPr>
      </w:pPr>
      <w:r>
        <w:rPr>
          <w:rFonts w:hint="eastAsia" w:eastAsia="仿宋_GB2312"/>
          <w:sz w:val="32"/>
          <w:szCs w:val="32"/>
          <w:lang w:eastAsia="zh-CN"/>
        </w:rPr>
        <w:drawing>
          <wp:anchor distT="0" distB="0" distL="114300" distR="114300" simplePos="0" relativeHeight="251660288" behindDoc="1" locked="0" layoutInCell="1" allowOverlap="1">
            <wp:simplePos x="0" y="0"/>
            <wp:positionH relativeFrom="column">
              <wp:posOffset>1355090</wp:posOffset>
            </wp:positionH>
            <wp:positionV relativeFrom="paragraph">
              <wp:posOffset>199390</wp:posOffset>
            </wp:positionV>
            <wp:extent cx="3194685" cy="2105660"/>
            <wp:effectExtent l="5080" t="4445" r="19685" b="23495"/>
            <wp:wrapTight wrapText="bothSides">
              <wp:wrapPolygon>
                <wp:start x="-34" y="-46"/>
                <wp:lineTo x="-34" y="21450"/>
                <wp:lineTo x="21475" y="21450"/>
                <wp:lineTo x="21475" y="-46"/>
                <wp:lineTo x="-34" y="-46"/>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widowControl/>
        <w:kinsoku/>
        <w:wordWrap/>
        <w:overflowPunct/>
        <w:topLinePunct w:val="0"/>
        <w:autoSpaceDE/>
        <w:autoSpaceDN/>
        <w:bidi w:val="0"/>
        <w:spacing w:line="420" w:lineRule="atLeast"/>
        <w:ind w:firstLine="560"/>
        <w:jc w:val="center"/>
        <w:textAlignment w:val="auto"/>
        <w:rPr>
          <w:rFonts w:hint="eastAsia" w:ascii="仿宋" w:hAnsi="仿宋" w:eastAsia="仿宋" w:cs="仿宋_GB2312"/>
          <w:sz w:val="32"/>
          <w:szCs w:val="32"/>
          <w:lang w:eastAsia="zh-CN"/>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pageBreakBefore w:val="0"/>
        <w:kinsoku/>
        <w:wordWrap/>
        <w:overflowPunct/>
        <w:topLinePunct w:val="0"/>
        <w:autoSpaceDE/>
        <w:autoSpaceDN/>
        <w:bidi w:val="0"/>
        <w:spacing w:after="0" w:line="580" w:lineRule="exact"/>
        <w:ind w:firstLine="643" w:firstLineChars="200"/>
        <w:textAlignment w:val="auto"/>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240.80</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23.24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9.6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人员费用及日常公用经费减少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24.61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厉行节约压缩人员费用及日常公用经费</w:t>
      </w:r>
      <w:r>
        <w:rPr>
          <w:rFonts w:hint="eastAsia" w:ascii="仿宋_GB2312" w:eastAsia="仿宋_GB2312" w:cs="DengXian-Regular"/>
          <w:sz w:val="32"/>
          <w:szCs w:val="32"/>
        </w:rPr>
        <w:t>。</w:t>
      </w:r>
    </w:p>
    <w:p>
      <w:pPr>
        <w:pageBreakBefore w:val="0"/>
        <w:kinsoku/>
        <w:wordWrap/>
        <w:overflowPunct/>
        <w:topLinePunct w:val="0"/>
        <w:autoSpaceDE/>
        <w:autoSpaceDN/>
        <w:bidi w:val="0"/>
        <w:adjustRightInd w:val="0"/>
        <w:snapToGrid w:val="0"/>
        <w:spacing w:after="0" w:line="580" w:lineRule="exact"/>
        <w:jc w:val="center"/>
        <w:textAlignment w:val="auto"/>
        <w:rPr>
          <w:rFonts w:ascii="仿宋_GB2312" w:eastAsia="仿宋_GB2312" w:cs="DengXian-Regular"/>
          <w:sz w:val="32"/>
          <w:szCs w:val="32"/>
        </w:rPr>
      </w:pPr>
      <w:r>
        <w:rPr>
          <w:rFonts w:hint="eastAsia" w:eastAsia="仿宋_GB2312"/>
          <w:sz w:val="32"/>
          <w:szCs w:val="32"/>
        </w:rPr>
        <w:t>图3：财政拨款收支情况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color w:val="E2D6CF" w:themeColor="text2" w:themeTint="33"/>
          <w:sz w:val="32"/>
          <w:szCs w:val="32"/>
          <w14:textFill>
            <w14:solidFill>
              <w14:schemeClr w14:val="tx2">
                <w14:lumMod w14:val="20000"/>
                <w14:lumOff w14:val="80000"/>
              </w14:schemeClr>
            </w14:solidFill>
          </w14:textFill>
        </w:rPr>
      </w:pPr>
      <w:r>
        <w:rPr>
          <w:rFonts w:hint="eastAsia" w:ascii="仿宋_GB2312" w:eastAsia="仿宋_GB2312" w:cs="DengXian-Regular"/>
          <w:sz w:val="32"/>
          <w:szCs w:val="32"/>
          <w:lang w:eastAsia="zh-CN"/>
        </w:rPr>
        <w:drawing>
          <wp:anchor distT="0" distB="0" distL="114300" distR="114300" simplePos="0" relativeHeight="251658240" behindDoc="1" locked="0" layoutInCell="1" allowOverlap="1">
            <wp:simplePos x="0" y="0"/>
            <wp:positionH relativeFrom="column">
              <wp:posOffset>1249045</wp:posOffset>
            </wp:positionH>
            <wp:positionV relativeFrom="paragraph">
              <wp:posOffset>114300</wp:posOffset>
            </wp:positionV>
            <wp:extent cx="3432810" cy="2228215"/>
            <wp:effectExtent l="4445" t="4445" r="29845" b="53340"/>
            <wp:wrapTight wrapText="bothSides">
              <wp:wrapPolygon>
                <wp:start x="-28" y="-43"/>
                <wp:lineTo x="-28" y="21378"/>
                <wp:lineTo x="21548" y="21378"/>
                <wp:lineTo x="21548" y="-43"/>
                <wp:lineTo x="-28" y="-43"/>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color w:val="EEE0DB" w:themeColor="accent2" w:themeTint="33"/>
          <w:sz w:val="32"/>
          <w:szCs w:val="32"/>
          <w14:textFill>
            <w14:solidFill>
              <w14:schemeClr w14:val="accent2">
                <w14:lumMod w14:val="20000"/>
                <w14:lumOff w14:val="80000"/>
              </w14:schemeClr>
            </w14:solidFill>
          </w14:textFill>
        </w:rPr>
      </w:pPr>
    </w:p>
    <w:p>
      <w:pPr>
        <w:pageBreakBefore w:val="0"/>
        <w:kinsoku/>
        <w:wordWrap/>
        <w:overflowPunct/>
        <w:topLinePunct w:val="0"/>
        <w:autoSpaceDE/>
        <w:autoSpaceDN/>
        <w:bidi w:val="0"/>
        <w:spacing w:after="0" w:line="580" w:lineRule="exact"/>
        <w:ind w:firstLine="643" w:firstLineChars="200"/>
        <w:textAlignment w:val="auto"/>
        <w:rPr>
          <w:rFonts w:hint="eastAsia" w:ascii="楷体_GB2312" w:eastAsia="楷体_GB2312" w:cs="DengXian-Bold"/>
          <w:b/>
          <w:bCs/>
          <w:sz w:val="32"/>
          <w:szCs w:val="32"/>
        </w:rPr>
      </w:pPr>
    </w:p>
    <w:p>
      <w:pPr>
        <w:pageBreakBefore w:val="0"/>
        <w:kinsoku/>
        <w:wordWrap/>
        <w:overflowPunct/>
        <w:topLinePunct w:val="0"/>
        <w:autoSpaceDE/>
        <w:autoSpaceDN/>
        <w:bidi w:val="0"/>
        <w:spacing w:after="0" w:line="580" w:lineRule="exact"/>
        <w:ind w:firstLine="643" w:firstLineChars="200"/>
        <w:textAlignment w:val="auto"/>
        <w:rPr>
          <w:rFonts w:hint="eastAsia" w:ascii="楷体_GB2312" w:eastAsia="楷体_GB2312" w:cs="DengXian-Bold"/>
          <w:b/>
          <w:bCs/>
          <w:sz w:val="32"/>
          <w:szCs w:val="32"/>
        </w:rPr>
      </w:pPr>
    </w:p>
    <w:p>
      <w:pPr>
        <w:pageBreakBefore w:val="0"/>
        <w:kinsoku/>
        <w:wordWrap/>
        <w:overflowPunct/>
        <w:topLinePunct w:val="0"/>
        <w:autoSpaceDE/>
        <w:autoSpaceDN/>
        <w:bidi w:val="0"/>
        <w:spacing w:after="0" w:line="580" w:lineRule="exact"/>
        <w:ind w:firstLine="643" w:firstLineChars="200"/>
        <w:textAlignment w:val="auto"/>
        <w:rPr>
          <w:rFonts w:hint="eastAsia" w:ascii="楷体_GB2312" w:eastAsia="楷体_GB2312" w:cs="DengXian-Bold"/>
          <w:b/>
          <w:bCs/>
          <w:sz w:val="32"/>
          <w:szCs w:val="32"/>
        </w:rPr>
      </w:pPr>
    </w:p>
    <w:p>
      <w:pPr>
        <w:pageBreakBefore w:val="0"/>
        <w:kinsoku/>
        <w:wordWrap/>
        <w:overflowPunct/>
        <w:topLinePunct w:val="0"/>
        <w:autoSpaceDE/>
        <w:autoSpaceDN/>
        <w:bidi w:val="0"/>
        <w:spacing w:after="0" w:line="580" w:lineRule="exact"/>
        <w:ind w:firstLine="643" w:firstLineChars="200"/>
        <w:textAlignment w:val="auto"/>
        <w:rPr>
          <w:rFonts w:hint="eastAsia" w:ascii="楷体_GB2312" w:eastAsia="楷体_GB2312" w:cs="DengXian-Bold"/>
          <w:b/>
          <w:bCs/>
          <w:sz w:val="32"/>
          <w:szCs w:val="32"/>
        </w:rPr>
      </w:pPr>
    </w:p>
    <w:p>
      <w:pPr>
        <w:pageBreakBefore w:val="0"/>
        <w:kinsoku/>
        <w:wordWrap/>
        <w:overflowPunct/>
        <w:topLinePunct w:val="0"/>
        <w:autoSpaceDE/>
        <w:autoSpaceDN/>
        <w:bidi w:val="0"/>
        <w:spacing w:after="0" w:line="580" w:lineRule="exact"/>
        <w:ind w:firstLine="643" w:firstLineChars="200"/>
        <w:textAlignment w:val="auto"/>
        <w:rPr>
          <w:rFonts w:hint="eastAsia" w:ascii="楷体_GB2312" w:eastAsia="楷体_GB2312" w:cs="DengXian-Bold"/>
          <w:b/>
          <w:bCs/>
          <w:sz w:val="32"/>
          <w:szCs w:val="32"/>
        </w:rPr>
      </w:pPr>
    </w:p>
    <w:p>
      <w:pPr>
        <w:pageBreakBefore w:val="0"/>
        <w:kinsoku/>
        <w:wordWrap/>
        <w:overflowPunct/>
        <w:topLinePunct w:val="0"/>
        <w:autoSpaceDE/>
        <w:autoSpaceDN/>
        <w:bidi w:val="0"/>
        <w:spacing w:after="0" w:line="580" w:lineRule="exact"/>
        <w:ind w:firstLine="643" w:firstLineChars="200"/>
        <w:textAlignment w:val="auto"/>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240.80</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99.3</w:t>
      </w:r>
      <w:r>
        <w:rPr>
          <w:rFonts w:hint="eastAsia" w:ascii="仿宋_GB2312" w:eastAsia="仿宋_GB2312" w:cs="DengXian-Regular"/>
          <w:sz w:val="32"/>
          <w:szCs w:val="32"/>
        </w:rPr>
        <w:t>%,比年初预算</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1.66</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小</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人员工资变化</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101</w:t>
      </w:r>
      <w:r>
        <w:rPr>
          <w:rFonts w:hint="eastAsia" w:ascii="仿宋_GB2312" w:eastAsia="仿宋_GB2312" w:cs="DengXian-Regular"/>
          <w:sz w:val="32"/>
          <w:szCs w:val="32"/>
        </w:rPr>
        <w:t>%,比年初预算</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1.28</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日常公用经费变化</w:t>
      </w:r>
      <w:r>
        <w:rPr>
          <w:rFonts w:hint="eastAsia" w:ascii="仿宋_GB2312" w:eastAsia="仿宋_GB2312" w:cs="DengXian-Regular"/>
          <w:sz w:val="32"/>
          <w:szCs w:val="32"/>
        </w:rPr>
        <w:t>。</w:t>
      </w:r>
    </w:p>
    <w:p>
      <w:pPr>
        <w:pageBreakBefore w:val="0"/>
        <w:kinsoku/>
        <w:wordWrap/>
        <w:overflowPunct/>
        <w:topLinePunct w:val="0"/>
        <w:autoSpaceDE/>
        <w:autoSpaceDN/>
        <w:bidi w:val="0"/>
        <w:adjustRightInd w:val="0"/>
        <w:snapToGrid w:val="0"/>
        <w:spacing w:after="0" w:line="580" w:lineRule="exact"/>
        <w:jc w:val="center"/>
        <w:textAlignment w:val="auto"/>
        <w:rPr>
          <w:rFonts w:hint="eastAsia" w:eastAsia="仿宋_GB2312"/>
          <w:sz w:val="32"/>
          <w:szCs w:val="32"/>
        </w:rPr>
      </w:pPr>
      <w:r>
        <w:rPr>
          <w:rFonts w:ascii="仿宋_GB2312" w:eastAsia="仿宋_GB2312" w:cs="DengXian-Regular"/>
          <w:sz w:val="32"/>
          <w:szCs w:val="32"/>
          <w:highlight w:val="yellow"/>
        </w:rPr>
        <w:drawing>
          <wp:anchor distT="0" distB="0" distL="114300" distR="114300" simplePos="0" relativeHeight="251661312" behindDoc="1" locked="0" layoutInCell="1" allowOverlap="1">
            <wp:simplePos x="0" y="0"/>
            <wp:positionH relativeFrom="column">
              <wp:posOffset>1010920</wp:posOffset>
            </wp:positionH>
            <wp:positionV relativeFrom="paragraph">
              <wp:posOffset>508635</wp:posOffset>
            </wp:positionV>
            <wp:extent cx="4052570" cy="2164080"/>
            <wp:effectExtent l="4445" t="4445" r="57785" b="79375"/>
            <wp:wrapTight wrapText="bothSides">
              <wp:wrapPolygon>
                <wp:start x="-24" y="-44"/>
                <wp:lineTo x="-24" y="21442"/>
                <wp:lineTo x="21502" y="21442"/>
                <wp:lineTo x="21502" y="-44"/>
                <wp:lineTo x="-24" y="-44"/>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仿宋_GB2312"/>
          <w:sz w:val="32"/>
          <w:szCs w:val="32"/>
        </w:rPr>
        <w:t>图4：财政拨款收支预决算对比情况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jc w:val="center"/>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highlight w:val="yellow"/>
        </w:rPr>
      </w:pPr>
    </w:p>
    <w:p>
      <w:pPr>
        <w:pageBreakBefore w:val="0"/>
        <w:numPr>
          <w:ilvl w:val="0"/>
          <w:numId w:val="2"/>
        </w:numPr>
        <w:kinsoku/>
        <w:wordWrap/>
        <w:overflowPunct/>
        <w:topLinePunct w:val="0"/>
        <w:autoSpaceDE/>
        <w:autoSpaceDN/>
        <w:bidi w:val="0"/>
        <w:adjustRightInd w:val="0"/>
        <w:snapToGrid w:val="0"/>
        <w:spacing w:after="0" w:line="580" w:lineRule="exact"/>
        <w:ind w:left="420" w:leftChars="200"/>
        <w:textAlignment w:val="auto"/>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万元，主要用于以下方面社会保障和就业（类）支出</w:t>
      </w:r>
      <w:r>
        <w:rPr>
          <w:rFonts w:hint="eastAsia" w:ascii="仿宋_GB2312" w:eastAsia="仿宋_GB2312" w:cs="DengXian-Regular"/>
          <w:sz w:val="32"/>
          <w:szCs w:val="32"/>
          <w:lang w:val="en-US" w:eastAsia="zh-CN"/>
        </w:rPr>
        <w:t>1.53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0.63</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0.60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0.25</w:t>
      </w:r>
      <w:r>
        <w:rPr>
          <w:rFonts w:hint="eastAsia" w:ascii="仿宋_GB2312" w:eastAsia="仿宋_GB2312" w:cs="DengXian-Regular"/>
          <w:sz w:val="32"/>
          <w:szCs w:val="32"/>
        </w:rPr>
        <w:t>%；</w:t>
      </w:r>
      <w:r>
        <w:rPr>
          <w:rFonts w:hint="eastAsia" w:ascii="仿宋_GB2312" w:eastAsia="仿宋_GB2312" w:cs="DengXian-Regular"/>
          <w:sz w:val="32"/>
          <w:szCs w:val="32"/>
          <w:lang w:eastAsia="zh-CN"/>
        </w:rPr>
        <w:t>商业服务业等</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240.66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98.73</w:t>
      </w:r>
      <w:r>
        <w:rPr>
          <w:rFonts w:hint="eastAsia" w:ascii="仿宋_GB2312" w:eastAsia="仿宋_GB2312" w:cs="DengXian-Regular"/>
          <w:sz w:val="32"/>
          <w:szCs w:val="32"/>
        </w:rPr>
        <w:t>%；住房保障支出</w:t>
      </w:r>
      <w:r>
        <w:rPr>
          <w:rFonts w:hint="eastAsia" w:ascii="仿宋_GB2312" w:eastAsia="仿宋_GB2312" w:cs="DengXian-Regular"/>
          <w:sz w:val="32"/>
          <w:szCs w:val="32"/>
          <w:lang w:val="en-US" w:eastAsia="zh-CN"/>
        </w:rPr>
        <w:t>0.95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0.39</w:t>
      </w:r>
      <w:r>
        <w:rPr>
          <w:rFonts w:hint="eastAsia" w:ascii="仿宋_GB2312" w:eastAsia="仿宋_GB2312" w:cs="DengXian-Regular"/>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rPr>
          <w:rFonts w:ascii="楷体_GB2312" w:eastAsia="楷体_GB2312" w:cs="DengXian-Bold"/>
          <w:b/>
          <w:bCs/>
          <w:sz w:val="32"/>
          <w:szCs w:val="32"/>
        </w:rPr>
      </w:pPr>
      <w:r>
        <w:rPr>
          <w:rFonts w:hint="eastAsia" w:eastAsia="仿宋_GB2312"/>
          <w:sz w:val="32"/>
          <w:szCs w:val="32"/>
        </w:rPr>
        <w:t>图5：财政拨款支出决算结构（按功能分类）</w:t>
      </w:r>
    </w:p>
    <w:p>
      <w:pPr>
        <w:pageBreakBefore w:val="0"/>
        <w:kinsoku/>
        <w:wordWrap/>
        <w:overflowPunct/>
        <w:topLinePunct w:val="0"/>
        <w:autoSpaceDE/>
        <w:autoSpaceDN/>
        <w:bidi w:val="0"/>
        <w:adjustRightInd w:val="0"/>
        <w:snapToGrid w:val="0"/>
        <w:spacing w:after="0" w:line="580" w:lineRule="exact"/>
        <w:textAlignment w:val="auto"/>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59264" behindDoc="1" locked="0" layoutInCell="1" allowOverlap="1">
            <wp:simplePos x="0" y="0"/>
            <wp:positionH relativeFrom="column">
              <wp:posOffset>1308735</wp:posOffset>
            </wp:positionH>
            <wp:positionV relativeFrom="paragraph">
              <wp:posOffset>184150</wp:posOffset>
            </wp:positionV>
            <wp:extent cx="3756660" cy="1915795"/>
            <wp:effectExtent l="4445" t="4445" r="10795" b="22860"/>
            <wp:wrapTight wrapText="bothSides">
              <wp:wrapPolygon>
                <wp:start x="-26" y="-50"/>
                <wp:lineTo x="-26" y="21428"/>
                <wp:lineTo x="21553" y="21428"/>
                <wp:lineTo x="21553" y="-50"/>
                <wp:lineTo x="-26" y="-5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autoSpaceDE/>
        <w:autoSpaceDN/>
        <w:bidi w:val="0"/>
        <w:adjustRightInd w:val="0"/>
        <w:snapToGrid w:val="0"/>
        <w:spacing w:after="0" w:line="580" w:lineRule="exact"/>
        <w:textAlignment w:val="auto"/>
        <w:rPr>
          <w:rFonts w:hint="eastAsia" w:ascii="楷体_GB2312" w:eastAsia="楷体_GB2312" w:cs="DengXian-Bold"/>
          <w:b/>
          <w:bCs/>
          <w:sz w:val="32"/>
          <w:szCs w:val="32"/>
          <w:lang w:eastAsia="zh-CN"/>
        </w:rPr>
      </w:pPr>
    </w:p>
    <w:p>
      <w:pPr>
        <w:pageBreakBefore w:val="0"/>
        <w:kinsoku/>
        <w:wordWrap/>
        <w:overflowPunct/>
        <w:topLinePunct w:val="0"/>
        <w:autoSpaceDE/>
        <w:autoSpaceDN/>
        <w:bidi w:val="0"/>
        <w:adjustRightInd w:val="0"/>
        <w:snapToGrid w:val="0"/>
        <w:spacing w:after="0" w:line="580" w:lineRule="exact"/>
        <w:textAlignment w:val="auto"/>
        <w:rPr>
          <w:rFonts w:ascii="楷体_GB2312" w:eastAsia="楷体_GB2312" w:cs="DengXian-Bold"/>
          <w:b/>
          <w:bCs/>
          <w:sz w:val="32"/>
          <w:szCs w:val="32"/>
        </w:rPr>
      </w:pPr>
    </w:p>
    <w:p>
      <w:pPr>
        <w:pageBreakBefore w:val="0"/>
        <w:kinsoku/>
        <w:wordWrap/>
        <w:overflowPunct/>
        <w:topLinePunct w:val="0"/>
        <w:autoSpaceDE/>
        <w:autoSpaceDN/>
        <w:bidi w:val="0"/>
        <w:adjustRightInd w:val="0"/>
        <w:snapToGrid w:val="0"/>
        <w:spacing w:after="0" w:line="580" w:lineRule="exact"/>
        <w:textAlignment w:val="auto"/>
        <w:rPr>
          <w:rFonts w:ascii="楷体_GB2312" w:eastAsia="楷体_GB2312" w:cs="DengXian-Bold"/>
          <w:b/>
          <w:bCs/>
          <w:sz w:val="32"/>
          <w:szCs w:val="32"/>
        </w:rPr>
      </w:pPr>
    </w:p>
    <w:p>
      <w:pPr>
        <w:pageBreakBefore w:val="0"/>
        <w:kinsoku/>
        <w:wordWrap/>
        <w:overflowPunct/>
        <w:topLinePunct w:val="0"/>
        <w:autoSpaceDE/>
        <w:autoSpaceDN/>
        <w:bidi w:val="0"/>
        <w:adjustRightInd w:val="0"/>
        <w:snapToGrid w:val="0"/>
        <w:spacing w:after="0" w:line="580" w:lineRule="exact"/>
        <w:ind w:firstLine="643" w:firstLineChars="200"/>
        <w:textAlignment w:val="auto"/>
        <w:rPr>
          <w:rFonts w:ascii="楷体_GB2312" w:eastAsia="楷体_GB2312" w:cs="DengXian-Bold"/>
          <w:b/>
          <w:bCs/>
          <w:sz w:val="32"/>
          <w:szCs w:val="32"/>
        </w:rPr>
      </w:pPr>
    </w:p>
    <w:p>
      <w:pPr>
        <w:pageBreakBefore w:val="0"/>
        <w:kinsoku/>
        <w:wordWrap/>
        <w:overflowPunct/>
        <w:topLinePunct w:val="0"/>
        <w:autoSpaceDE/>
        <w:autoSpaceDN/>
        <w:bidi w:val="0"/>
        <w:adjustRightInd w:val="0"/>
        <w:snapToGrid w:val="0"/>
        <w:spacing w:after="0" w:line="580" w:lineRule="exact"/>
        <w:ind w:left="420" w:leftChars="200"/>
        <w:textAlignment w:val="auto"/>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243.74</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216.50</w:t>
      </w:r>
      <w:r>
        <w:rPr>
          <w:rFonts w:hint="eastAsia" w:ascii="仿宋_GB2312" w:eastAsia="仿宋_GB2312" w:cs="DengXian-Regular"/>
          <w:sz w:val="32"/>
          <w:szCs w:val="32"/>
        </w:rPr>
        <w:t>万元，主要包括基本工资、津贴补贴、奖金、机关事业单位基本养老保险缴费、职工基本医疗保险缴费、住房公积金、其他工资福利支出、</w:t>
      </w:r>
      <w:r>
        <w:rPr>
          <w:rFonts w:hint="eastAsia" w:ascii="仿宋_GB2312" w:eastAsia="仿宋_GB2312" w:cs="DengXian-Regular"/>
          <w:sz w:val="32"/>
          <w:szCs w:val="32"/>
          <w:lang w:eastAsia="zh-CN"/>
        </w:rPr>
        <w:t>救济费</w:t>
      </w:r>
      <w:r>
        <w:rPr>
          <w:rFonts w:hint="eastAsia" w:ascii="仿宋_GB2312" w:eastAsia="仿宋_GB2312" w:cs="DengXian-Regular"/>
          <w:sz w:val="32"/>
          <w:szCs w:val="32"/>
        </w:rPr>
        <w:t>、奖励金、其他对个人和家庭的补助支出等；公用经费</w:t>
      </w:r>
      <w:r>
        <w:rPr>
          <w:rFonts w:hint="eastAsia" w:ascii="仿宋_GB2312" w:eastAsia="仿宋_GB2312" w:cs="DengXian-Regular"/>
          <w:sz w:val="32"/>
          <w:szCs w:val="32"/>
          <w:lang w:val="en-US" w:eastAsia="zh-CN"/>
        </w:rPr>
        <w:t>27.24</w:t>
      </w:r>
      <w:r>
        <w:rPr>
          <w:rFonts w:hint="eastAsia" w:ascii="仿宋_GB2312" w:eastAsia="仿宋_GB2312" w:cs="DengXian-Regular"/>
          <w:sz w:val="32"/>
          <w:szCs w:val="32"/>
        </w:rPr>
        <w:t>万元，主要包括办公费、印刷费、水费、电费、邮电费、取暖费、物业管理费、差旅费、维修（护）费、工会经费、福利费、公务用车运行维护费、其他。</w:t>
      </w: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五、一般公共预算财政拨款“三公” 经费支出决算情况说明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本部门2018年度一般公共预算财政拨款“三公”经费支出共计</w:t>
      </w:r>
      <w:r>
        <w:rPr>
          <w:rFonts w:hint="eastAsia" w:ascii="仿宋_GB2312" w:eastAsia="仿宋_GB2312" w:cs="DengXian-Regular"/>
          <w:sz w:val="32"/>
          <w:szCs w:val="32"/>
          <w:lang w:val="en-US" w:eastAsia="zh-CN"/>
        </w:rPr>
        <w:t>2.30</w:t>
      </w:r>
      <w:r>
        <w:rPr>
          <w:rFonts w:hint="eastAsia" w:ascii="仿宋_GB2312" w:eastAsia="仿宋_GB2312" w:cs="DengXian-Regular"/>
          <w:sz w:val="32"/>
          <w:szCs w:val="32"/>
        </w:rPr>
        <w:t>万元，比年初预算减少</w:t>
      </w:r>
      <w:r>
        <w:rPr>
          <w:rFonts w:hint="eastAsia" w:ascii="仿宋_GB2312" w:eastAsia="仿宋_GB2312" w:cs="DengXian-Regular"/>
          <w:sz w:val="32"/>
          <w:szCs w:val="32"/>
          <w:lang w:val="en-US" w:eastAsia="zh-CN"/>
        </w:rPr>
        <w:t>0.11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4.78</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接待费用减少</w:t>
      </w:r>
      <w:r>
        <w:rPr>
          <w:rFonts w:hint="eastAsia" w:ascii="仿宋_GB2312" w:eastAsia="仿宋_GB2312" w:cs="DengXian-Regular"/>
          <w:sz w:val="32"/>
          <w:szCs w:val="32"/>
        </w:rPr>
        <w:t>；比2017年度决算减少</w:t>
      </w:r>
      <w:r>
        <w:rPr>
          <w:rFonts w:hint="eastAsia" w:ascii="仿宋_GB2312" w:eastAsia="仿宋_GB2312" w:cs="DengXian-Regular"/>
          <w:sz w:val="32"/>
          <w:szCs w:val="32"/>
          <w:lang w:val="en-US" w:eastAsia="zh-CN"/>
        </w:rPr>
        <w:t>0.20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8.70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接待费减少</w:t>
      </w:r>
      <w:r>
        <w:rPr>
          <w:rFonts w:hint="eastAsia" w:ascii="仿宋_GB2312" w:eastAsia="仿宋_GB2312" w:cs="DengXian-Regular"/>
          <w:sz w:val="32"/>
          <w:szCs w:val="32"/>
        </w:rPr>
        <w:t>。具体情况如下：</w:t>
      </w:r>
    </w:p>
    <w:p>
      <w:pPr>
        <w:keepNext w:val="0"/>
        <w:keepLines w:val="0"/>
        <w:pageBreakBefore w:val="0"/>
        <w:widowControl/>
        <w:kinsoku/>
        <w:wordWrap/>
        <w:overflowPunct/>
        <w:topLinePunct w:val="0"/>
        <w:autoSpaceDE/>
        <w:autoSpaceDN/>
        <w:bidi w:val="0"/>
        <w:spacing w:after="0" w:line="540" w:lineRule="exact"/>
        <w:ind w:firstLine="643" w:firstLineChars="200"/>
        <w:jc w:val="left"/>
        <w:textAlignment w:val="auto"/>
        <w:rPr>
          <w:rFonts w:hint="eastAsia" w:ascii="仿宋_GB2312" w:eastAsia="仿宋_GB2312" w:cs="DengXian-Regular"/>
          <w:sz w:val="32"/>
          <w:szCs w:val="32"/>
          <w:lang w:eastAsia="zh-CN"/>
        </w:rPr>
      </w:pP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 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 xml:space="preserve"> 年未发生因公出国（境）经费支出，较年初预算无增减变化</w:t>
      </w:r>
      <w:r>
        <w:rPr>
          <w:rFonts w:hint="eastAsia" w:ascii="仿宋_GB2312" w:eastAsia="仿宋_GB2312" w:cs="DengXian-Regular"/>
          <w:sz w:val="32"/>
          <w:szCs w:val="32"/>
          <w:lang w:eastAsia="zh-CN"/>
        </w:rPr>
        <w:t>；</w:t>
      </w:r>
      <w:r>
        <w:rPr>
          <w:rFonts w:hint="eastAsia" w:ascii="仿宋_GB2312" w:eastAsia="仿宋_GB2312" w:cs="DengXian-Regular"/>
          <w:sz w:val="32"/>
          <w:szCs w:val="32"/>
        </w:rPr>
        <w:t>较 201</w:t>
      </w:r>
      <w:r>
        <w:rPr>
          <w:rFonts w:hint="eastAsia" w:ascii="仿宋_GB2312" w:eastAsia="仿宋_GB2312" w:cs="DengXian-Regular"/>
          <w:sz w:val="32"/>
          <w:szCs w:val="32"/>
          <w:lang w:val="en-US" w:eastAsia="zh-CN"/>
        </w:rPr>
        <w:t>7</w:t>
      </w:r>
      <w:r>
        <w:rPr>
          <w:rFonts w:hint="eastAsia" w:ascii="仿宋_GB2312" w:eastAsia="仿宋_GB2312" w:cs="DengXian-Regular"/>
          <w:sz w:val="32"/>
          <w:szCs w:val="32"/>
        </w:rPr>
        <w:t xml:space="preserve"> 年度决算无增减变化</w:t>
      </w:r>
      <w:r>
        <w:rPr>
          <w:rFonts w:hint="eastAsia" w:ascii="仿宋_GB2312" w:eastAsia="仿宋_GB2312" w:cs="DengXian-Regular"/>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eastAsia="仿宋_GB2312"/>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2.30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本部门2018年度公务用车购置及运行维护费比年初预算</w:t>
      </w:r>
      <w:r>
        <w:rPr>
          <w:rFonts w:hint="eastAsia" w:ascii="仿宋" w:hAnsi="仿宋" w:eastAsia="仿宋"/>
          <w:b w:val="0"/>
          <w:bCs w:val="0"/>
          <w:sz w:val="32"/>
          <w:szCs w:val="32"/>
        </w:rPr>
        <w:t>无增减变化</w:t>
      </w:r>
      <w:r>
        <w:rPr>
          <w:rFonts w:hint="eastAsia" w:ascii="仿宋_GB2312" w:eastAsia="仿宋_GB2312" w:cs="DengXian-Regular"/>
          <w:sz w:val="32"/>
          <w:szCs w:val="32"/>
        </w:rPr>
        <w:t>；</w:t>
      </w:r>
      <w:r>
        <w:rPr>
          <w:rFonts w:hint="eastAsia" w:eastAsia="仿宋_GB2312"/>
          <w:sz w:val="32"/>
          <w:szCs w:val="32"/>
        </w:rPr>
        <w:t>比</w:t>
      </w:r>
      <w:r>
        <w:rPr>
          <w:rFonts w:hint="eastAsia" w:ascii="仿宋_GB2312" w:eastAsia="仿宋_GB2312" w:cs="DengXian-Regular"/>
          <w:sz w:val="32"/>
          <w:szCs w:val="32"/>
        </w:rPr>
        <w:t>2017</w:t>
      </w:r>
      <w:r>
        <w:rPr>
          <w:rFonts w:eastAsia="仿宋_GB2312"/>
          <w:sz w:val="32"/>
          <w:szCs w:val="32"/>
        </w:rPr>
        <w:t>年度决算</w:t>
      </w:r>
      <w:r>
        <w:rPr>
          <w:rFonts w:hint="eastAsia" w:ascii="仿宋" w:hAnsi="仿宋" w:eastAsia="仿宋"/>
          <w:b w:val="0"/>
          <w:bCs w:val="0"/>
          <w:sz w:val="32"/>
          <w:szCs w:val="32"/>
        </w:rPr>
        <w:t>无增减变化</w:t>
      </w:r>
      <w:r>
        <w:rPr>
          <w:rFonts w:eastAsia="仿宋_GB2312"/>
          <w:sz w:val="32"/>
          <w:szCs w:val="32"/>
        </w:rPr>
        <w:t>。</w:t>
      </w:r>
      <w:r>
        <w:rPr>
          <w:rFonts w:eastAsia="仿宋_GB2312"/>
          <w:b/>
          <w:bCs/>
          <w:sz w:val="32"/>
          <w:szCs w:val="32"/>
        </w:rPr>
        <w:t>其中：</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eastAsia="仿宋_GB2312"/>
          <w:sz w:val="32"/>
          <w:szCs w:val="32"/>
        </w:rPr>
      </w:pPr>
      <w:r>
        <w:rPr>
          <w:rFonts w:hint="eastAsia" w:ascii="楷体_GB2312" w:eastAsia="楷体_GB2312" w:cs="DengXian-Bold"/>
          <w:b/>
          <w:bCs/>
          <w:sz w:val="32"/>
          <w:szCs w:val="32"/>
        </w:rPr>
        <w:t>公务用车购置费支出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比</w:t>
      </w:r>
      <w:r>
        <w:rPr>
          <w:rFonts w:hint="eastAsia" w:ascii="仿宋_GB2312" w:eastAsia="仿宋_GB2312" w:cs="DengXian-Regular"/>
          <w:sz w:val="32"/>
          <w:szCs w:val="32"/>
        </w:rPr>
        <w:t>2017</w:t>
      </w:r>
      <w:r>
        <w:rPr>
          <w:rFonts w:eastAsia="仿宋_GB2312"/>
          <w:sz w:val="32"/>
          <w:szCs w:val="32"/>
        </w:rPr>
        <w:t>年度决算</w:t>
      </w:r>
      <w:r>
        <w:rPr>
          <w:rFonts w:hint="eastAsia" w:eastAsia="仿宋_GB2312"/>
          <w:sz w:val="32"/>
          <w:szCs w:val="32"/>
        </w:rPr>
        <w:t>无增减变化</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eastAsia="仿宋_GB2312"/>
          <w:sz w:val="32"/>
          <w:szCs w:val="32"/>
          <w:highlight w:val="yellow"/>
        </w:rPr>
      </w:pPr>
      <w:r>
        <w:rPr>
          <w:rFonts w:hint="eastAsia" w:ascii="楷体_GB2312" w:eastAsia="楷体_GB2312" w:cs="DengXian-Bold"/>
          <w:b/>
          <w:bCs/>
          <w:sz w:val="32"/>
          <w:szCs w:val="32"/>
        </w:rPr>
        <w:t>公务用车运行维护费支出</w:t>
      </w:r>
      <w:r>
        <w:rPr>
          <w:rFonts w:hint="eastAsia" w:ascii="楷体_GB2312" w:eastAsia="楷体_GB2312" w:cs="DengXian-Bold"/>
          <w:b/>
          <w:bCs/>
          <w:sz w:val="32"/>
          <w:szCs w:val="32"/>
          <w:lang w:val="en-US" w:eastAsia="zh-CN"/>
        </w:rPr>
        <w:t>2.30</w:t>
      </w:r>
      <w:r>
        <w:rPr>
          <w:rFonts w:hint="eastAsia" w:ascii="楷体_GB2312" w:eastAsia="楷体_GB2312" w:cs="DengXian-Bold"/>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ascii="仿宋" w:hAnsi="仿宋" w:eastAsia="仿宋"/>
          <w:b w:val="0"/>
          <w:bCs w:val="0"/>
          <w:sz w:val="32"/>
          <w:szCs w:val="32"/>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ascii="仿宋" w:hAnsi="仿宋" w:eastAsia="仿宋"/>
          <w:b w:val="0"/>
          <w:bCs w:val="0"/>
          <w:sz w:val="32"/>
          <w:szCs w:val="32"/>
        </w:rPr>
        <w:t>无增减变化</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eastAsia="仿宋_GB2312"/>
          <w:sz w:val="32"/>
          <w:szCs w:val="32"/>
          <w:highlight w:val="yellow"/>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人次。公务接待费支出比年初预算减少</w:t>
      </w:r>
      <w:r>
        <w:rPr>
          <w:rFonts w:hint="eastAsia" w:ascii="仿宋_GB2312" w:eastAsia="仿宋_GB2312" w:cs="DengXian-Regular"/>
          <w:sz w:val="32"/>
          <w:szCs w:val="32"/>
          <w:lang w:val="en-US" w:eastAsia="zh-CN"/>
        </w:rPr>
        <w:t>0.11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单位厉行节约，减少接待费开支</w:t>
      </w:r>
      <w:r>
        <w:rPr>
          <w:rFonts w:hint="eastAsia" w:ascii="仿宋_GB2312" w:eastAsia="仿宋_GB2312" w:cs="DengXian-Regular"/>
          <w:sz w:val="32"/>
          <w:szCs w:val="32"/>
        </w:rPr>
        <w:t>；比2017年度决算减少</w:t>
      </w:r>
      <w:r>
        <w:rPr>
          <w:rFonts w:hint="eastAsia" w:ascii="仿宋_GB2312" w:eastAsia="仿宋_GB2312" w:cs="DengXian-Regular"/>
          <w:sz w:val="32"/>
          <w:szCs w:val="32"/>
          <w:lang w:val="en-US" w:eastAsia="zh-CN"/>
        </w:rPr>
        <w:t>0.20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单位厉行节约，减少接待费开支。</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黑体" w:eastAsia="黑体"/>
          <w:sz w:val="32"/>
          <w:szCs w:val="40"/>
        </w:rPr>
      </w:pPr>
      <w:r>
        <w:rPr>
          <w:rFonts w:hint="eastAsia" w:ascii="黑体" w:eastAsia="黑体"/>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hint="eastAsia" w:ascii="楷体_GB2312" w:eastAsia="楷体_GB2312" w:cs="DengXian-Bold"/>
          <w:b/>
          <w:bCs/>
          <w:sz w:val="32"/>
          <w:szCs w:val="32"/>
        </w:rPr>
      </w:pPr>
      <w:r>
        <w:rPr>
          <w:rFonts w:hint="eastAsia" w:ascii="楷体_GB2312" w:eastAsia="楷体_GB2312" w:cs="DengXian-Bold"/>
          <w:b/>
          <w:bCs/>
          <w:sz w:val="32"/>
          <w:szCs w:val="32"/>
        </w:rPr>
        <w:t>（一）预算绩效管理工作开展情况。</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根据县财政局工作要求，围绕财政预算制订与执行，本部门 2018年继续深化绩效管理工作。为加强对绩效预算的管理，部门成立了绩效预算工作领导小组，主要领导亲自挂帅，主管领导靠前指挥，财务科牵头，办公室、人事科、基层科、盐管办等业务科室共同参与，通力配合。并根据内部控制的具体要求，科学设置绩效预算编制、实施、监督等各个环节，确保抓出实效。</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hint="eastAsia" w:ascii="楷体_GB2312" w:eastAsia="楷体_GB2312" w:cs="DengXian-Bold"/>
          <w:b/>
          <w:bCs/>
          <w:sz w:val="32"/>
          <w:szCs w:val="32"/>
        </w:rPr>
      </w:pPr>
      <w:r>
        <w:rPr>
          <w:rFonts w:hint="eastAsia" w:ascii="楷体_GB2312" w:eastAsia="楷体_GB2312" w:cs="DengXian-Bold"/>
          <w:b/>
          <w:bCs/>
          <w:sz w:val="32"/>
          <w:szCs w:val="32"/>
          <w:lang w:eastAsia="zh-CN"/>
        </w:rPr>
        <w:t>（二）</w:t>
      </w:r>
      <w:r>
        <w:rPr>
          <w:rFonts w:hint="eastAsia" w:ascii="楷体_GB2312" w:eastAsia="楷体_GB2312" w:cs="DengXian-Bold"/>
          <w:b/>
          <w:bCs/>
          <w:sz w:val="32"/>
          <w:szCs w:val="32"/>
        </w:rPr>
        <w:t>项目绩效自评结果。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一是合理设定绩效目标。对部门申报的绩效项目，分别设定了整体绩效目标。如盐业储备、防汛物资储备明确到每个单品的储存量、储备物资完好率等；按全国供销社综合改革要求加强基层社和县农村产权交易有限公司建设等。二是加强内部财务监督审核，责成财务科每月定期对部门预算收支进行动态分析，监督业务科室围绕绩效目标，适当加快工作进度，确保绩效目标的落实。</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hint="eastAsia" w:ascii="楷体_GB2312" w:eastAsia="楷体_GB2312" w:cs="DengXian-Bold"/>
          <w:b/>
          <w:bCs/>
          <w:sz w:val="32"/>
          <w:szCs w:val="32"/>
        </w:rPr>
      </w:pPr>
      <w:r>
        <w:rPr>
          <w:rFonts w:hint="eastAsia" w:ascii="楷体_GB2312" w:eastAsia="楷体_GB2312" w:cs="DengXian-Bold"/>
          <w:b/>
          <w:bCs/>
          <w:sz w:val="32"/>
          <w:szCs w:val="32"/>
        </w:rPr>
        <w:t>（三）重点项目绩效评价结果。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如县级盐业储备项目。</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1、绩效目标确定。县政府根据《廊坊市突发事件食盐市场供应应急预案》、《廊坊市市级食盐储备管理办法》具体规定，为了增强政府对食盐的调控手段，强化应急保障措施，维护食盐市场稳定，保障食盐供应，市发改委、市财政局、市供销社联合下发了《关于下达市级食盐储备计划的通知》，县政府确定大厂回族自治盐业专营有限公司为食盐储备任务承担企业。储备资金由企业自行解决，根据上级确定的储备计划，以“储备物资数量真实率”、“储备物资盘点次数”、“储备物资质量完好率”、“储备物资价格波动率”、“储备物资应急保障率”、“储备物资任务耗损下降率”等绩效指标作为县级盐业储备项目的绩效评价产出和效果指标，并确定了“优良中差”等各级评价标准。</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2、绩效目标的日常监控。由部门所属盐业管理办公室配合项目单位，每月对市级盐业储备点食盐库存情况进行动态监督，现场盘点监督。</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3、绩效目标评价。通过审计，对项目单位进行了 2018 年度绩效审计，县社根据财务科出具的审计报告，制定了责任清单，确保了财政资金合理合规的落实。</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绩效自评等级为“优秀”。</w:t>
      </w: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cs="Times New Roman"/>
          <w:b w:val="0"/>
          <w:bCs w:val="0"/>
        </w:rPr>
      </w:pPr>
      <w:r>
        <w:rPr>
          <w:rFonts w:hint="eastAsia" w:ascii="黑体" w:eastAsia="黑体" w:cs="Times New Roman"/>
          <w:b w:val="0"/>
          <w:bCs w:val="0"/>
        </w:rPr>
        <w:t>七、其他重要事项的说明</w:t>
      </w:r>
    </w:p>
    <w:p>
      <w:pPr>
        <w:pStyle w:val="4"/>
        <w:pageBreakBefore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（一）机关运行经费情况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27.24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2.37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8.7</w:t>
      </w:r>
      <w:r>
        <w:rPr>
          <w:rFonts w:hint="eastAsia" w:ascii="仿宋_GB2312" w:eastAsia="仿宋_GB2312" w:cs="DengXian-Regular"/>
          <w:sz w:val="32"/>
          <w:szCs w:val="32"/>
        </w:rPr>
        <w:t xml:space="preserve">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是其他交通费用增加</w:t>
      </w:r>
      <w:r>
        <w:rPr>
          <w:rFonts w:hint="eastAsia" w:ascii="仿宋_GB2312" w:eastAsia="仿宋_GB2312" w:cs="DengXian-Regular"/>
          <w:sz w:val="32"/>
          <w:szCs w:val="32"/>
        </w:rPr>
        <w:t>。较2017年度决算减少</w:t>
      </w:r>
      <w:r>
        <w:rPr>
          <w:rFonts w:hint="eastAsia" w:ascii="仿宋_GB2312" w:eastAsia="仿宋_GB2312" w:cs="DengXian-Regular"/>
          <w:sz w:val="32"/>
          <w:szCs w:val="32"/>
          <w:lang w:val="en-US" w:eastAsia="zh-CN"/>
        </w:rPr>
        <w:t>6.83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厉行节约，压缩办公开支</w:t>
      </w:r>
      <w:r>
        <w:rPr>
          <w:rFonts w:hint="eastAsia" w:ascii="仿宋_GB2312" w:eastAsia="仿宋_GB2312" w:cs="DengXian-Regular"/>
          <w:sz w:val="32"/>
          <w:szCs w:val="32"/>
        </w:rPr>
        <w:t>。</w:t>
      </w:r>
      <w:r>
        <w:rPr>
          <w:rFonts w:hint="eastAsia" w:ascii="仿宋_GB2312" w:eastAsia="仿宋_GB2312" w:cs="DengXian-Regular"/>
          <w:sz w:val="32"/>
          <w:szCs w:val="32"/>
          <w:lang w:eastAsia="zh-CN"/>
        </w:rPr>
        <w:t>机关运行经费</w:t>
      </w:r>
      <w:r>
        <w:rPr>
          <w:rFonts w:hint="eastAsia" w:ascii="仿宋_GB2312" w:eastAsia="仿宋_GB2312" w:cs="DengXian-Regular"/>
          <w:sz w:val="32"/>
          <w:szCs w:val="32"/>
          <w:lang w:val="en-US" w:eastAsia="zh-CN"/>
        </w:rPr>
        <w:t>主要用于</w:t>
      </w:r>
      <w:r>
        <w:rPr>
          <w:rFonts w:hint="eastAsia" w:ascii="仿宋_GB2312" w:eastAsia="仿宋_GB2312" w:cs="DengXian-Regular"/>
          <w:sz w:val="32"/>
          <w:szCs w:val="32"/>
        </w:rPr>
        <w:t>办公</w:t>
      </w:r>
      <w:r>
        <w:rPr>
          <w:rFonts w:hint="eastAsia" w:ascii="仿宋_GB2312" w:eastAsia="仿宋_GB2312" w:cs="DengXian-Regular"/>
          <w:sz w:val="32"/>
          <w:szCs w:val="32"/>
          <w:lang w:eastAsia="zh-CN"/>
        </w:rPr>
        <w:t>费、</w:t>
      </w:r>
      <w:r>
        <w:rPr>
          <w:rFonts w:hint="eastAsia" w:ascii="仿宋_GB2312" w:eastAsia="仿宋_GB2312" w:cs="DengXian-Regular"/>
          <w:sz w:val="32"/>
          <w:szCs w:val="32"/>
        </w:rPr>
        <w:t>印刷费、</w:t>
      </w:r>
      <w:r>
        <w:rPr>
          <w:rFonts w:hint="eastAsia" w:ascii="仿宋_GB2312" w:eastAsia="仿宋_GB2312" w:cs="DengXian-Regular"/>
          <w:sz w:val="32"/>
          <w:szCs w:val="32"/>
          <w:lang w:eastAsia="zh-CN"/>
        </w:rPr>
        <w:t>水费、电费、邮电费、取暖费、</w:t>
      </w:r>
      <w:r>
        <w:rPr>
          <w:rFonts w:hint="eastAsia" w:ascii="仿宋_GB2312" w:eastAsia="仿宋_GB2312" w:cs="DengXian-Regular"/>
          <w:sz w:val="32"/>
          <w:szCs w:val="32"/>
        </w:rPr>
        <w:t>差旅费、会议费、福利费、日常维修费、</w:t>
      </w:r>
      <w:r>
        <w:rPr>
          <w:rFonts w:hint="eastAsia" w:ascii="仿宋_GB2312" w:eastAsia="仿宋_GB2312" w:cs="DengXian-Regular"/>
          <w:sz w:val="32"/>
          <w:szCs w:val="32"/>
          <w:lang w:eastAsia="zh-CN"/>
        </w:rPr>
        <w:t>工会经费、公务用车运行维护费和其他交通费用等</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pageBreakBefore w:val="0"/>
        <w:kinsoku/>
        <w:wordWrap/>
        <w:overflowPunct/>
        <w:topLinePunct w:val="0"/>
        <w:autoSpaceDE/>
        <w:autoSpaceDN/>
        <w:bidi w:val="0"/>
        <w:spacing w:before="0" w:after="0" w:line="580" w:lineRule="exact"/>
        <w:ind w:firstLine="640" w:firstLineChars="200"/>
        <w:textAlignment w:val="auto"/>
        <w:rPr>
          <w:rFonts w:ascii="仿宋_GB2312" w:hAnsi="仿宋_GB2312" w:eastAsia="仿宋_GB2312" w:cs="仿宋_GB2312"/>
          <w:b w:val="0"/>
          <w:bCs w:val="0"/>
          <w:color w:val="000000"/>
          <w:kern w:val="0"/>
          <w:sz w:val="32"/>
          <w:szCs w:val="32"/>
        </w:rPr>
      </w:pPr>
      <w:r>
        <w:rPr>
          <w:rFonts w:hint="eastAsia" w:ascii="仿宋_GB2312" w:eastAsia="仿宋_GB2312" w:cs="DengXian-Regular"/>
          <w:b w:val="0"/>
          <w:bCs w:val="0"/>
          <w:sz w:val="32"/>
          <w:szCs w:val="32"/>
        </w:rPr>
        <w:t>本部门2018年度政府采购支出总额</w:t>
      </w:r>
      <w:r>
        <w:rPr>
          <w:rFonts w:hint="eastAsia" w:ascii="仿宋_GB2312" w:eastAsia="仿宋_GB2312" w:cs="DengXian-Regular"/>
          <w:b w:val="0"/>
          <w:bCs w:val="0"/>
          <w:sz w:val="32"/>
          <w:szCs w:val="32"/>
          <w:lang w:val="en-US" w:eastAsia="zh-CN"/>
        </w:rPr>
        <w:t>0</w:t>
      </w:r>
      <w:r>
        <w:rPr>
          <w:rFonts w:hint="eastAsia" w:ascii="仿宋_GB2312" w:eastAsia="仿宋_GB2312" w:cs="DengXian-Regular"/>
          <w:b w:val="0"/>
          <w:bCs w:val="0"/>
          <w:sz w:val="32"/>
          <w:szCs w:val="32"/>
        </w:rPr>
        <w:t>万元，从采购类型来看，</w:t>
      </w:r>
      <w:r>
        <w:rPr>
          <w:rFonts w:ascii="仿宋_GB2312" w:hAnsi="仿宋_GB2312" w:eastAsia="仿宋_GB2312" w:cs="仿宋_GB2312"/>
          <w:b w:val="0"/>
          <w:bCs w:val="0"/>
          <w:color w:val="000000"/>
          <w:kern w:val="0"/>
          <w:sz w:val="32"/>
          <w:szCs w:val="32"/>
        </w:rPr>
        <w:t>政府采购货物支出</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 xml:space="preserve"> 万元、政府采购工程支出</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 xml:space="preserve">万元、政府采购服务支出 </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万元。授予中小企业合同金</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万元，占政府采购支出总额的</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w:t>
      </w:r>
      <w:r>
        <w:rPr>
          <w:rFonts w:ascii="仿宋_GB2312" w:hAnsi="仿宋_GB2312" w:eastAsia="仿宋_GB2312" w:cs="仿宋_GB2312"/>
          <w:b w:val="0"/>
          <w:bCs w:val="0"/>
          <w:color w:val="000000"/>
          <w:kern w:val="0"/>
          <w:sz w:val="32"/>
          <w:szCs w:val="32"/>
        </w:rPr>
        <w:t>其中授予小微企业合同金额</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万元，占政府采购支出总额的</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p>
    <w:p>
      <w:pPr>
        <w:pStyle w:val="4"/>
        <w:pageBreakBefore w:val="0"/>
        <w:kinsoku/>
        <w:wordWrap/>
        <w:overflowPunct/>
        <w:topLinePunct w:val="0"/>
        <w:autoSpaceDE/>
        <w:autoSpaceDN/>
        <w:bidi w:val="0"/>
        <w:spacing w:before="0" w:after="0" w:line="580" w:lineRule="exact"/>
        <w:ind w:firstLine="643" w:firstLineChars="200"/>
        <w:textAlignment w:val="auto"/>
        <w:rPr>
          <w:rFonts w:hint="eastAsia" w:ascii="楷体_GB2312" w:hAnsi="Times New Roman" w:eastAsia="楷体_GB2312" w:cs="DengXian-Bold"/>
          <w:b/>
          <w:bCs/>
          <w:kern w:val="2"/>
          <w:sz w:val="32"/>
          <w:szCs w:val="32"/>
          <w:lang w:val="en-US" w:eastAsia="zh-CN" w:bidi="ar-SA"/>
        </w:rPr>
      </w:pPr>
      <w:r>
        <w:rPr>
          <w:rFonts w:hint="eastAsia" w:ascii="楷体_GB2312" w:eastAsia="楷体_GB2312" w:cs="DengXian-Bold"/>
        </w:rPr>
        <w:t>（三）</w:t>
      </w:r>
      <w:r>
        <w:rPr>
          <w:rFonts w:hint="eastAsia" w:ascii="楷体_GB2312" w:hAnsi="Times New Roman" w:eastAsia="楷体_GB2312" w:cs="DengXian-Bold"/>
          <w:b/>
          <w:bCs/>
          <w:kern w:val="2"/>
          <w:sz w:val="32"/>
          <w:szCs w:val="32"/>
          <w:lang w:val="en-US" w:eastAsia="zh-CN" w:bidi="ar-SA"/>
        </w:rPr>
        <w:t>国有资产占用情况</w:t>
      </w:r>
      <w:bookmarkStart w:id="0" w:name="_GoBack"/>
      <w:bookmarkEnd w:id="0"/>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截至2018年12月31日，本部门共有车辆1辆，比上年无增减变化，车辆是机要通信用车；单位价值50万元以上通用设备0台（套），比上年无增减变化 ，单位价值100万元以上专用设备0台（套），比上年无增减变化。</w:t>
      </w:r>
    </w:p>
    <w:p>
      <w:pPr>
        <w:pStyle w:val="4"/>
        <w:pageBreakBefore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（四）其他需要说明的情况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1、本部门2018年度政府性基金预算财政拨款收入支出决算表</w:t>
      </w:r>
      <w:r>
        <w:rPr>
          <w:rFonts w:hint="eastAsia" w:ascii="仿宋_GB2312" w:eastAsia="仿宋_GB2312" w:cs="DengXian-Regular"/>
          <w:sz w:val="32"/>
          <w:szCs w:val="32"/>
          <w:lang w:eastAsia="zh-CN"/>
        </w:rPr>
        <w:t>、</w:t>
      </w:r>
      <w:r>
        <w:rPr>
          <w:rFonts w:hint="eastAsia" w:ascii="仿宋_GB2312" w:eastAsia="仿宋_GB2312" w:cs="DengXian-Regular"/>
          <w:sz w:val="32"/>
          <w:szCs w:val="32"/>
        </w:rPr>
        <w:t>国有资本经营预算财政拨款收入支出决算表、政府采购情况表</w:t>
      </w:r>
      <w:r>
        <w:rPr>
          <w:rFonts w:hint="eastAsia" w:ascii="仿宋_GB2312" w:eastAsia="仿宋_GB2312" w:cs="DengXian-Regular"/>
          <w:sz w:val="32"/>
          <w:szCs w:val="32"/>
          <w:lang w:eastAsia="zh-CN"/>
        </w:rPr>
        <w:t>无收支及结转结余情况，故以空表列示</w:t>
      </w:r>
      <w:r>
        <w:rPr>
          <w:rFonts w:hint="eastAsia" w:ascii="仿宋" w:hAnsi="仿宋" w:eastAsia="仿宋" w:cs="楷体"/>
          <w:bCs/>
          <w:kern w:val="2"/>
          <w:sz w:val="32"/>
          <w:szCs w:val="32"/>
          <w:lang w:eastAsia="zh-CN"/>
        </w:rPr>
        <w:t>。</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cs="MS-UIGothic,Bold" w:asciiTheme="majorEastAsia" w:hAnsiTheme="majorEastAsia" w:eastAsiaTheme="majorEastAsia"/>
          <w:b/>
          <w:bCs/>
          <w:kern w:val="0"/>
          <w:sz w:val="44"/>
          <w:szCs w:val="44"/>
        </w:rPr>
        <w:sectPr>
          <w:pgSz w:w="11906" w:h="16838"/>
          <w:pgMar w:top="1474" w:right="1361" w:bottom="1474" w:left="1361" w:header="851" w:footer="992" w:gutter="0"/>
          <w:cols w:space="0" w:num="1"/>
          <w:docGrid w:type="lines" w:linePitch="312" w:charSpace="0"/>
        </w:sectPr>
      </w:pPr>
    </w:p>
    <w:p>
      <w:pPr>
        <w:pageBreakBefore w:val="0"/>
        <w:widowControl/>
        <w:kinsoku/>
        <w:wordWrap/>
        <w:overflowPunct/>
        <w:topLinePunct w:val="0"/>
        <w:autoSpaceDE/>
        <w:autoSpaceDN/>
        <w:bidi w:val="0"/>
        <w:spacing w:line="1200" w:lineRule="exact"/>
        <w:jc w:val="center"/>
        <w:textAlignment w:val="auto"/>
        <w:rPr>
          <w:rFonts w:hAnsi="宋体" w:asciiTheme="minorEastAsia" w:eastAsiaTheme="minorEastAsia"/>
          <w:color w:val="000000" w:themeColor="text1"/>
          <w:sz w:val="96"/>
          <w:szCs w:val="96"/>
          <w14:textFill>
            <w14:solidFill>
              <w14:schemeClr w14:val="tx1"/>
            </w14:solidFill>
          </w14:textFill>
        </w:rPr>
      </w:pPr>
    </w:p>
    <w:p>
      <w:pPr>
        <w:pageBreakBefore w:val="0"/>
        <w:widowControl/>
        <w:kinsoku/>
        <w:wordWrap/>
        <w:overflowPunct/>
        <w:topLinePunct w:val="0"/>
        <w:autoSpaceDE/>
        <w:autoSpaceDN/>
        <w:bidi w:val="0"/>
        <w:spacing w:line="1200" w:lineRule="exact"/>
        <w:jc w:val="center"/>
        <w:textAlignment w:val="auto"/>
        <w:rPr>
          <w:rFonts w:hAnsi="宋体" w:asciiTheme="minorEastAsia" w:eastAsiaTheme="minorEastAsia"/>
          <w:color w:val="000000" w:themeColor="text1"/>
          <w:sz w:val="96"/>
          <w:szCs w:val="96"/>
          <w14:textFill>
            <w14:solidFill>
              <w14:schemeClr w14:val="tx1"/>
            </w14:solidFill>
          </w14:textFill>
        </w:rPr>
      </w:pPr>
    </w:p>
    <w:p>
      <w:pPr>
        <w:pageBreakBefore w:val="0"/>
        <w:widowControl/>
        <w:kinsoku/>
        <w:wordWrap/>
        <w:overflowPunct/>
        <w:topLinePunct w:val="0"/>
        <w:autoSpaceDE/>
        <w:autoSpaceDN/>
        <w:bidi w:val="0"/>
        <w:spacing w:line="1200" w:lineRule="exact"/>
        <w:jc w:val="center"/>
        <w:textAlignment w:val="auto"/>
        <w:rPr>
          <w:rFonts w:hAnsi="宋体" w:asciiTheme="minorEastAsia" w:eastAsiaTheme="minorEastAsia"/>
          <w:color w:val="000000" w:themeColor="text1"/>
          <w:sz w:val="96"/>
          <w:szCs w:val="96"/>
          <w14:textFill>
            <w14:solidFill>
              <w14:schemeClr w14:val="tx1"/>
            </w14:solidFill>
          </w14:textFill>
        </w:rPr>
      </w:pPr>
    </w:p>
    <w:p>
      <w:pPr>
        <w:pageBreakBefore w:val="0"/>
        <w:widowControl/>
        <w:kinsoku/>
        <w:wordWrap/>
        <w:overflowPunct/>
        <w:topLinePunct w:val="0"/>
        <w:autoSpaceDE/>
        <w:autoSpaceDN/>
        <w:bidi w:val="0"/>
        <w:spacing w:line="1200" w:lineRule="exact"/>
        <w:jc w:val="center"/>
        <w:textAlignment w:val="auto"/>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pageBreakBefore w:val="0"/>
        <w:widowControl/>
        <w:kinsoku/>
        <w:wordWrap/>
        <w:overflowPunct/>
        <w:topLinePunct w:val="0"/>
        <w:autoSpaceDE/>
        <w:autoSpaceDN/>
        <w:bidi w:val="0"/>
        <w:spacing w:line="1200" w:lineRule="exact"/>
        <w:jc w:val="center"/>
        <w:textAlignment w:val="auto"/>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pageBreakBefore w:val="0"/>
        <w:kinsoku/>
        <w:wordWrap/>
        <w:overflowPunct/>
        <w:topLinePunct w:val="0"/>
        <w:autoSpaceDE/>
        <w:autoSpaceDN/>
        <w:bidi w:val="0"/>
        <w:textAlignment w:val="auto"/>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pageBreakBefore w:val="0"/>
        <w:widowControl/>
        <w:kinsoku/>
        <w:wordWrap/>
        <w:overflowPunct/>
        <w:topLinePunct w:val="0"/>
        <w:autoSpaceDE/>
        <w:autoSpaceDN/>
        <w:bidi w:val="0"/>
        <w:spacing w:after="0" w:line="560" w:lineRule="exact"/>
        <w:ind w:firstLine="643" w:firstLineChars="200"/>
        <w:textAlignment w:val="auto"/>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2A92B"/>
    <w:multiLevelType w:val="singleLevel"/>
    <w:tmpl w:val="C5F2A92B"/>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DC2846"/>
    <w:rsid w:val="03333E3A"/>
    <w:rsid w:val="04073F84"/>
    <w:rsid w:val="05504163"/>
    <w:rsid w:val="08083528"/>
    <w:rsid w:val="0B60750A"/>
    <w:rsid w:val="10686488"/>
    <w:rsid w:val="10DF728A"/>
    <w:rsid w:val="1264200E"/>
    <w:rsid w:val="141C5B77"/>
    <w:rsid w:val="18D8339D"/>
    <w:rsid w:val="19696F76"/>
    <w:rsid w:val="1A21388F"/>
    <w:rsid w:val="1A570D2F"/>
    <w:rsid w:val="1B147E66"/>
    <w:rsid w:val="1FBF2382"/>
    <w:rsid w:val="25C44127"/>
    <w:rsid w:val="28FB0B8D"/>
    <w:rsid w:val="291564FA"/>
    <w:rsid w:val="2D2B7942"/>
    <w:rsid w:val="2D46481D"/>
    <w:rsid w:val="2E733B28"/>
    <w:rsid w:val="30A91125"/>
    <w:rsid w:val="31852B5A"/>
    <w:rsid w:val="32D01238"/>
    <w:rsid w:val="39B52164"/>
    <w:rsid w:val="39C93E4E"/>
    <w:rsid w:val="3DFC59A8"/>
    <w:rsid w:val="3ECF245E"/>
    <w:rsid w:val="3FB96314"/>
    <w:rsid w:val="47E454D7"/>
    <w:rsid w:val="4E1549E2"/>
    <w:rsid w:val="53A44FAF"/>
    <w:rsid w:val="54D368B2"/>
    <w:rsid w:val="55357B94"/>
    <w:rsid w:val="585922A5"/>
    <w:rsid w:val="594329EC"/>
    <w:rsid w:val="5BEE1540"/>
    <w:rsid w:val="5DC02D36"/>
    <w:rsid w:val="5DE61A5D"/>
    <w:rsid w:val="63C04243"/>
    <w:rsid w:val="649C01C7"/>
    <w:rsid w:val="64E07FAC"/>
    <w:rsid w:val="699A3F60"/>
    <w:rsid w:val="72902E62"/>
    <w:rsid w:val="73C61104"/>
    <w:rsid w:val="74CA2BE6"/>
    <w:rsid w:val="769D44B9"/>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elete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10</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elete val="1"/>
          </c:dLbls>
          <c:cat>
            <c:strRef>
              <c:f>Sheet1!$A$2:$A$5</c:f>
              <c:strCache>
                <c:ptCount val="4"/>
                <c:pt idx="0">
                  <c:v>基本支出</c:v>
                </c:pt>
                <c:pt idx="1">
                  <c:v>项目支出</c:v>
                </c:pt>
                <c:pt idx="2">
                  <c:v>经营支出</c:v>
                </c:pt>
              </c:strCache>
            </c:strRef>
          </c:cat>
          <c:val>
            <c:numRef>
              <c:f>Sheet1!$B$2:$B$5</c:f>
              <c:numCache>
                <c:formatCode>General</c:formatCode>
                <c:ptCount val="4"/>
                <c:pt idx="0">
                  <c:v>10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elete val="1"/>
          </c:dLbls>
          <c:cat>
            <c:strRef>
              <c:f>Sheet1!$A$2:$A$5</c:f>
              <c:strCache>
                <c:ptCount val="4"/>
                <c:pt idx="0">
                  <c:v>一般公共预算财政拨款</c:v>
                </c:pt>
              </c:strCache>
            </c:str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预算</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242.46</c:v>
                </c:pt>
                <c:pt idx="1">
                  <c:v>242.46</c:v>
                </c:pt>
              </c:numCache>
            </c:numRef>
          </c:val>
        </c:ser>
        <c:ser>
          <c:idx val="1"/>
          <c:order val="1"/>
          <c:tx>
            <c:strRef>
              <c:f>Sheet1!$C$1</c:f>
              <c:strCache>
                <c:ptCount val="1"/>
                <c:pt idx="0">
                  <c:v>决算</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240.8</c:v>
                </c:pt>
                <c:pt idx="1">
                  <c:v>243.74</c:v>
                </c:pt>
              </c:numCache>
            </c:numRef>
          </c:val>
        </c:ser>
        <c:dLbls>
          <c:showLegendKey val="0"/>
          <c:showVal val="0"/>
          <c:showCatName val="0"/>
          <c:showSerName val="0"/>
          <c:showPercent val="0"/>
          <c:showBubbleSize val="0"/>
        </c:dLbls>
        <c:gapWidth val="150"/>
        <c:overlap val="0"/>
        <c:axId val="656124001"/>
        <c:axId val="169882353"/>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收入</c:v>
                      </c:pt>
                      <c:pt idx="1">
                        <c:v>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561240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69882353"/>
        <c:crosses val="autoZero"/>
        <c:auto val="1"/>
        <c:lblAlgn val="ctr"/>
        <c:lblOffset val="100"/>
        <c:noMultiLvlLbl val="0"/>
      </c:catAx>
      <c:valAx>
        <c:axId val="1698823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612400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财政拨款支出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elete val="1"/>
          </c:dLbls>
          <c:cat>
            <c:strRef>
              <c:f>Sheet1!$A$2:$A$5</c:f>
              <c:strCache>
                <c:ptCount val="4"/>
                <c:pt idx="0">
                  <c:v>商业服务业等支出</c:v>
                </c:pt>
                <c:pt idx="1">
                  <c:v>医疗卫生与计划生育支出</c:v>
                </c:pt>
                <c:pt idx="2">
                  <c:v>社会保障和就业支出</c:v>
                </c:pt>
                <c:pt idx="3">
                  <c:v>住房保障支出</c:v>
                </c:pt>
              </c:strCache>
            </c:strRef>
          </c:cat>
          <c:val>
            <c:numRef>
              <c:f>Sheet1!$B$2:$B$5</c:f>
              <c:numCache>
                <c:formatCode>General</c:formatCode>
                <c:ptCount val="4"/>
                <c:pt idx="0">
                  <c:v>98.73</c:v>
                </c:pt>
                <c:pt idx="1">
                  <c:v>0.25</c:v>
                </c:pt>
                <c:pt idx="2">
                  <c:v>0.63</c:v>
                </c:pt>
                <c:pt idx="3">
                  <c:v>0.39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1657</Words>
  <Characters>9446</Characters>
  <Lines>1</Lines>
  <Paragraphs>1</Paragraphs>
  <TotalTime>1</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2019-11-19T07:20:00Z</cp:lastPrinted>
  <dcterms:modified xsi:type="dcterms:W3CDTF">2021-06-04T08:16:40Z</dcterms:modified>
  <dc:subject>石家庄市xxx部门</dc:subject>
  <dc:title>2017年度部门决算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